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BB" w:rsidRDefault="00F343BB" w:rsidP="00F343BB">
      <w:r>
        <w:t>Programme Specifications for Business Enterprise and Entrepreneurship (MA)</w:t>
      </w:r>
      <w:bookmarkStart w:id="0" w:name="_GoBack"/>
      <w:bookmarkEnd w:id="0"/>
    </w:p>
    <w:p w:rsidR="00F343BB" w:rsidRDefault="00F343BB" w:rsidP="00F343BB"/>
    <w:tbl>
      <w:tblPr>
        <w:tblW w:w="9270" w:type="dxa"/>
        <w:jc w:val="center"/>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9"/>
        <w:gridCol w:w="229"/>
        <w:gridCol w:w="4732"/>
      </w:tblGrid>
      <w:tr w:rsidR="00F343BB" w:rsidTr="007B10A1">
        <w:trPr>
          <w:jc w:val="center"/>
        </w:trPr>
        <w:tc>
          <w:tcPr>
            <w:tcW w:w="4309" w:type="dxa"/>
            <w:tcBorders>
              <w:bottom w:val="nil"/>
              <w:right w:val="nil"/>
            </w:tcBorders>
            <w:shd w:val="clear" w:color="auto" w:fill="D9D9D9"/>
          </w:tcPr>
          <w:p w:rsidR="00F343BB" w:rsidRPr="00FF61BE" w:rsidRDefault="00F343BB" w:rsidP="007B10A1">
            <w:pPr>
              <w:spacing w:before="60" w:after="60"/>
              <w:rPr>
                <w:b/>
              </w:rPr>
            </w:pPr>
            <w:r w:rsidRPr="00FF61BE">
              <w:rPr>
                <w:b/>
              </w:rPr>
              <w:t>1. Programme title</w:t>
            </w:r>
          </w:p>
        </w:tc>
        <w:tc>
          <w:tcPr>
            <w:tcW w:w="4961" w:type="dxa"/>
            <w:gridSpan w:val="2"/>
            <w:tcBorders>
              <w:left w:val="nil"/>
              <w:bottom w:val="nil"/>
            </w:tcBorders>
            <w:vAlign w:val="center"/>
          </w:tcPr>
          <w:p w:rsidR="00F343BB" w:rsidRDefault="00F343BB" w:rsidP="007B10A1">
            <w:r>
              <w:t>Business Enterprise and Entrepreneurship</w:t>
            </w:r>
          </w:p>
        </w:tc>
      </w:tr>
      <w:tr w:rsidR="00F343BB" w:rsidTr="007B10A1">
        <w:trPr>
          <w:jc w:val="center"/>
        </w:trPr>
        <w:tc>
          <w:tcPr>
            <w:tcW w:w="4309" w:type="dxa"/>
            <w:tcBorders>
              <w:top w:val="nil"/>
              <w:bottom w:val="nil"/>
              <w:right w:val="nil"/>
            </w:tcBorders>
            <w:shd w:val="clear" w:color="auto" w:fill="D9D9D9"/>
          </w:tcPr>
          <w:p w:rsidR="00F343BB" w:rsidRPr="00FF61BE" w:rsidRDefault="00F343BB" w:rsidP="007B10A1">
            <w:pPr>
              <w:spacing w:before="60" w:after="60"/>
              <w:rPr>
                <w:b/>
              </w:rPr>
            </w:pPr>
            <w:r w:rsidRPr="00FF61BE">
              <w:rPr>
                <w:b/>
              </w:rPr>
              <w:t xml:space="preserve">2. Awarding institution </w:t>
            </w:r>
          </w:p>
        </w:tc>
        <w:tc>
          <w:tcPr>
            <w:tcW w:w="4961" w:type="dxa"/>
            <w:gridSpan w:val="2"/>
            <w:tcBorders>
              <w:top w:val="nil"/>
              <w:left w:val="nil"/>
              <w:bottom w:val="nil"/>
            </w:tcBorders>
            <w:vAlign w:val="center"/>
          </w:tcPr>
          <w:p w:rsidR="00F343BB" w:rsidRDefault="00F343BB" w:rsidP="007B10A1">
            <w:r>
              <w:t>Middlesex University</w:t>
            </w:r>
          </w:p>
        </w:tc>
      </w:tr>
      <w:tr w:rsidR="00F343BB" w:rsidTr="007B10A1">
        <w:trPr>
          <w:jc w:val="center"/>
        </w:trPr>
        <w:tc>
          <w:tcPr>
            <w:tcW w:w="4309" w:type="dxa"/>
            <w:tcBorders>
              <w:top w:val="nil"/>
              <w:bottom w:val="nil"/>
              <w:right w:val="nil"/>
            </w:tcBorders>
            <w:shd w:val="clear" w:color="auto" w:fill="D9D9D9"/>
          </w:tcPr>
          <w:p w:rsidR="00F343BB" w:rsidRPr="00FF61BE" w:rsidRDefault="00F343BB" w:rsidP="007B10A1">
            <w:pPr>
              <w:spacing w:before="60" w:after="60"/>
              <w:rPr>
                <w:b/>
              </w:rPr>
            </w:pPr>
            <w:r w:rsidRPr="00FF61BE">
              <w:rPr>
                <w:b/>
              </w:rPr>
              <w:t>3. Teaching institution</w:t>
            </w:r>
            <w:r w:rsidRPr="00FF61BE" w:rsidDel="005D7312">
              <w:rPr>
                <w:b/>
              </w:rPr>
              <w:t xml:space="preserve"> </w:t>
            </w:r>
          </w:p>
        </w:tc>
        <w:tc>
          <w:tcPr>
            <w:tcW w:w="4961" w:type="dxa"/>
            <w:gridSpan w:val="2"/>
            <w:tcBorders>
              <w:top w:val="nil"/>
              <w:left w:val="nil"/>
              <w:bottom w:val="nil"/>
            </w:tcBorders>
            <w:vAlign w:val="center"/>
          </w:tcPr>
          <w:p w:rsidR="00F343BB" w:rsidRDefault="00F343BB" w:rsidP="007B10A1">
            <w:r>
              <w:t>Middlesex University</w:t>
            </w:r>
          </w:p>
        </w:tc>
      </w:tr>
      <w:tr w:rsidR="00F343BB" w:rsidTr="007B10A1">
        <w:trPr>
          <w:jc w:val="center"/>
        </w:trPr>
        <w:tc>
          <w:tcPr>
            <w:tcW w:w="4309" w:type="dxa"/>
            <w:tcBorders>
              <w:top w:val="nil"/>
              <w:bottom w:val="nil"/>
              <w:right w:val="nil"/>
            </w:tcBorders>
            <w:shd w:val="clear" w:color="auto" w:fill="D9D9D9"/>
          </w:tcPr>
          <w:p w:rsidR="00F343BB" w:rsidRPr="00FF61BE" w:rsidRDefault="00F343BB" w:rsidP="007B10A1">
            <w:pPr>
              <w:spacing w:before="60" w:after="60"/>
              <w:rPr>
                <w:b/>
              </w:rPr>
            </w:pPr>
            <w:r w:rsidRPr="00FF61BE">
              <w:rPr>
                <w:b/>
              </w:rPr>
              <w:t>4. Programme accredited by</w:t>
            </w:r>
            <w:r w:rsidRPr="00FF61BE" w:rsidDel="005D7312">
              <w:rPr>
                <w:b/>
              </w:rPr>
              <w:t xml:space="preserve"> </w:t>
            </w:r>
          </w:p>
        </w:tc>
        <w:tc>
          <w:tcPr>
            <w:tcW w:w="4961" w:type="dxa"/>
            <w:gridSpan w:val="2"/>
            <w:tcBorders>
              <w:top w:val="nil"/>
              <w:left w:val="nil"/>
              <w:bottom w:val="nil"/>
            </w:tcBorders>
            <w:vAlign w:val="center"/>
          </w:tcPr>
          <w:p w:rsidR="00F343BB" w:rsidRDefault="00F343BB" w:rsidP="007B10A1">
            <w:r>
              <w:t>N/A</w:t>
            </w:r>
          </w:p>
        </w:tc>
      </w:tr>
      <w:tr w:rsidR="00F343BB" w:rsidTr="007B10A1">
        <w:trPr>
          <w:jc w:val="center"/>
        </w:trPr>
        <w:tc>
          <w:tcPr>
            <w:tcW w:w="4309" w:type="dxa"/>
            <w:tcBorders>
              <w:top w:val="nil"/>
              <w:bottom w:val="nil"/>
              <w:right w:val="nil"/>
            </w:tcBorders>
            <w:shd w:val="clear" w:color="auto" w:fill="D9D9D9"/>
          </w:tcPr>
          <w:p w:rsidR="00F343BB" w:rsidRPr="00FF61BE" w:rsidRDefault="00F343BB" w:rsidP="007B10A1">
            <w:pPr>
              <w:spacing w:before="60" w:after="60"/>
              <w:rPr>
                <w:b/>
              </w:rPr>
            </w:pPr>
            <w:r w:rsidRPr="00FF61BE">
              <w:rPr>
                <w:b/>
              </w:rPr>
              <w:t>5. Final qualification</w:t>
            </w:r>
            <w:r w:rsidRPr="00FF61BE" w:rsidDel="005D7312">
              <w:rPr>
                <w:b/>
              </w:rPr>
              <w:t xml:space="preserve"> </w:t>
            </w:r>
          </w:p>
        </w:tc>
        <w:tc>
          <w:tcPr>
            <w:tcW w:w="4961" w:type="dxa"/>
            <w:gridSpan w:val="2"/>
            <w:tcBorders>
              <w:top w:val="nil"/>
              <w:left w:val="nil"/>
              <w:bottom w:val="nil"/>
            </w:tcBorders>
            <w:vAlign w:val="center"/>
          </w:tcPr>
          <w:p w:rsidR="00F343BB" w:rsidRDefault="00F343BB" w:rsidP="007B10A1">
            <w:r>
              <w:t>Master of Arts</w:t>
            </w:r>
          </w:p>
          <w:p w:rsidR="00F343BB" w:rsidRDefault="00F343BB" w:rsidP="007B10A1">
            <w:r>
              <w:t>Postgraduate Diploma</w:t>
            </w:r>
          </w:p>
          <w:p w:rsidR="00F343BB" w:rsidRDefault="00F343BB" w:rsidP="007B10A1">
            <w:r>
              <w:t>Postgraduate Certificate</w:t>
            </w:r>
          </w:p>
        </w:tc>
      </w:tr>
      <w:tr w:rsidR="00F343BB" w:rsidTr="007B10A1">
        <w:trPr>
          <w:jc w:val="center"/>
        </w:trPr>
        <w:tc>
          <w:tcPr>
            <w:tcW w:w="4309" w:type="dxa"/>
            <w:tcBorders>
              <w:top w:val="nil"/>
              <w:bottom w:val="nil"/>
              <w:right w:val="nil"/>
            </w:tcBorders>
            <w:shd w:val="clear" w:color="auto" w:fill="D9D9D9"/>
          </w:tcPr>
          <w:p w:rsidR="00F343BB" w:rsidRPr="00FF61BE" w:rsidRDefault="00F343BB" w:rsidP="007B10A1">
            <w:pPr>
              <w:spacing w:before="60" w:after="60"/>
              <w:rPr>
                <w:b/>
              </w:rPr>
            </w:pPr>
            <w:r w:rsidRPr="00FF61BE">
              <w:rPr>
                <w:b/>
              </w:rPr>
              <w:t>6. Academic year</w:t>
            </w:r>
          </w:p>
        </w:tc>
        <w:tc>
          <w:tcPr>
            <w:tcW w:w="4961" w:type="dxa"/>
            <w:gridSpan w:val="2"/>
            <w:tcBorders>
              <w:top w:val="nil"/>
              <w:left w:val="nil"/>
              <w:bottom w:val="nil"/>
            </w:tcBorders>
            <w:vAlign w:val="center"/>
          </w:tcPr>
          <w:p w:rsidR="00F343BB" w:rsidRDefault="00F343BB" w:rsidP="007B10A1">
            <w:r>
              <w:t>2010/11</w:t>
            </w:r>
          </w:p>
        </w:tc>
      </w:tr>
      <w:tr w:rsidR="00F343BB" w:rsidTr="007B10A1">
        <w:trPr>
          <w:jc w:val="center"/>
        </w:trPr>
        <w:tc>
          <w:tcPr>
            <w:tcW w:w="4309" w:type="dxa"/>
            <w:tcBorders>
              <w:top w:val="nil"/>
              <w:bottom w:val="nil"/>
              <w:right w:val="nil"/>
            </w:tcBorders>
            <w:shd w:val="clear" w:color="auto" w:fill="D9D9D9"/>
          </w:tcPr>
          <w:p w:rsidR="00F343BB" w:rsidRPr="00FF61BE" w:rsidRDefault="00F343BB" w:rsidP="007B10A1">
            <w:pPr>
              <w:spacing w:before="60" w:after="60"/>
              <w:rPr>
                <w:b/>
              </w:rPr>
            </w:pPr>
            <w:r w:rsidRPr="00FF61BE">
              <w:rPr>
                <w:b/>
              </w:rPr>
              <w:t>7. Language of study</w:t>
            </w:r>
          </w:p>
        </w:tc>
        <w:tc>
          <w:tcPr>
            <w:tcW w:w="4961" w:type="dxa"/>
            <w:gridSpan w:val="2"/>
            <w:tcBorders>
              <w:top w:val="nil"/>
              <w:left w:val="nil"/>
              <w:bottom w:val="nil"/>
            </w:tcBorders>
            <w:vAlign w:val="center"/>
          </w:tcPr>
          <w:p w:rsidR="00F343BB" w:rsidRDefault="00F343BB" w:rsidP="007B10A1">
            <w:r>
              <w:t>English</w:t>
            </w:r>
          </w:p>
        </w:tc>
      </w:tr>
      <w:tr w:rsidR="00F343BB" w:rsidTr="007B10A1">
        <w:trPr>
          <w:jc w:val="center"/>
        </w:trPr>
        <w:tc>
          <w:tcPr>
            <w:tcW w:w="4309" w:type="dxa"/>
            <w:tcBorders>
              <w:top w:val="nil"/>
              <w:bottom w:val="single" w:sz="4" w:space="0" w:color="000000"/>
              <w:right w:val="nil"/>
            </w:tcBorders>
            <w:shd w:val="clear" w:color="auto" w:fill="D9D9D9"/>
          </w:tcPr>
          <w:p w:rsidR="00F343BB" w:rsidRPr="00FF61BE" w:rsidRDefault="00F343BB" w:rsidP="007B10A1">
            <w:pPr>
              <w:spacing w:before="60" w:after="60"/>
              <w:rPr>
                <w:b/>
              </w:rPr>
            </w:pPr>
            <w:r w:rsidRPr="00FF61BE">
              <w:rPr>
                <w:b/>
              </w:rPr>
              <w:t>8. Mode of study</w:t>
            </w:r>
          </w:p>
        </w:tc>
        <w:tc>
          <w:tcPr>
            <w:tcW w:w="4961" w:type="dxa"/>
            <w:gridSpan w:val="2"/>
            <w:tcBorders>
              <w:top w:val="nil"/>
              <w:left w:val="nil"/>
              <w:bottom w:val="single" w:sz="4" w:space="0" w:color="000000"/>
            </w:tcBorders>
            <w:vAlign w:val="center"/>
          </w:tcPr>
          <w:p w:rsidR="00F343BB" w:rsidRDefault="00F343BB" w:rsidP="007B10A1">
            <w:r>
              <w:t>Full Time/Part Time</w:t>
            </w:r>
          </w:p>
        </w:tc>
      </w:tr>
      <w:tr w:rsidR="00F343BB" w:rsidTr="007B10A1">
        <w:trPr>
          <w:jc w:val="center"/>
        </w:trPr>
        <w:tc>
          <w:tcPr>
            <w:tcW w:w="9270" w:type="dxa"/>
            <w:gridSpan w:val="3"/>
            <w:tcBorders>
              <w:left w:val="nil"/>
              <w:bottom w:val="single" w:sz="4" w:space="0" w:color="000000"/>
              <w:right w:val="nil"/>
            </w:tcBorders>
            <w:shd w:val="clear" w:color="auto" w:fill="auto"/>
          </w:tcPr>
          <w:p w:rsidR="00F343BB" w:rsidRDefault="00F343BB" w:rsidP="007B10A1"/>
        </w:tc>
      </w:tr>
      <w:tr w:rsidR="00F343BB" w:rsidTr="007B10A1">
        <w:trPr>
          <w:jc w:val="center"/>
        </w:trPr>
        <w:tc>
          <w:tcPr>
            <w:tcW w:w="9270" w:type="dxa"/>
            <w:gridSpan w:val="3"/>
            <w:tcBorders>
              <w:bottom w:val="nil"/>
            </w:tcBorders>
            <w:shd w:val="clear" w:color="auto" w:fill="D9D9D9"/>
          </w:tcPr>
          <w:p w:rsidR="00F343BB" w:rsidRDefault="00F343BB" w:rsidP="007B10A1">
            <w:pPr>
              <w:spacing w:before="60" w:after="60"/>
            </w:pPr>
            <w:r w:rsidRPr="00FF61BE">
              <w:rPr>
                <w:b/>
              </w:rPr>
              <w:t>9. Criteria for admission to the programme</w:t>
            </w:r>
          </w:p>
        </w:tc>
      </w:tr>
      <w:tr w:rsidR="00F343BB" w:rsidTr="007B10A1">
        <w:trPr>
          <w:jc w:val="center"/>
        </w:trPr>
        <w:tc>
          <w:tcPr>
            <w:tcW w:w="9270" w:type="dxa"/>
            <w:gridSpan w:val="3"/>
            <w:tcBorders>
              <w:top w:val="nil"/>
              <w:bottom w:val="single" w:sz="4" w:space="0" w:color="000000"/>
            </w:tcBorders>
            <w:shd w:val="clear" w:color="auto" w:fill="auto"/>
          </w:tcPr>
          <w:p w:rsidR="00F343BB" w:rsidRPr="00FF61BE" w:rsidRDefault="00F343BB" w:rsidP="007B10A1">
            <w:pPr>
              <w:spacing w:before="60" w:after="60"/>
              <w:rPr>
                <w:b/>
              </w:rPr>
            </w:pPr>
            <w:r>
              <w:t>Applicants should normally possess a UK Honours degree (normally classified 2.2 or above) or an acceptable equivalent with some quantitative content.  Exceptionally, applicants without a first degree might be considered based on professional or other qualifications approved for this purpose. IELTS 6.5 or higher is required or equivalent other.</w:t>
            </w:r>
          </w:p>
        </w:tc>
      </w:tr>
      <w:tr w:rsidR="00F343BB" w:rsidTr="007B10A1">
        <w:trPr>
          <w:jc w:val="center"/>
        </w:trPr>
        <w:tc>
          <w:tcPr>
            <w:tcW w:w="9270" w:type="dxa"/>
            <w:gridSpan w:val="3"/>
            <w:tcBorders>
              <w:left w:val="nil"/>
              <w:bottom w:val="single" w:sz="4" w:space="0" w:color="000000"/>
              <w:right w:val="nil"/>
            </w:tcBorders>
            <w:shd w:val="clear" w:color="auto" w:fill="auto"/>
          </w:tcPr>
          <w:p w:rsidR="00F343BB" w:rsidRPr="00FF61BE" w:rsidRDefault="00F343BB" w:rsidP="007B10A1">
            <w:pPr>
              <w:spacing w:before="60" w:after="60"/>
              <w:rPr>
                <w:b/>
              </w:rPr>
            </w:pPr>
          </w:p>
        </w:tc>
      </w:tr>
      <w:tr w:rsidR="00F343BB" w:rsidTr="007B10A1">
        <w:trPr>
          <w:jc w:val="center"/>
        </w:trPr>
        <w:tc>
          <w:tcPr>
            <w:tcW w:w="9270" w:type="dxa"/>
            <w:gridSpan w:val="3"/>
            <w:tcBorders>
              <w:bottom w:val="nil"/>
            </w:tcBorders>
            <w:shd w:val="clear" w:color="auto" w:fill="D9D9D9"/>
          </w:tcPr>
          <w:p w:rsidR="00F343BB" w:rsidRPr="00FF61BE" w:rsidRDefault="00F343BB" w:rsidP="007B10A1">
            <w:pPr>
              <w:spacing w:before="60" w:after="60"/>
              <w:rPr>
                <w:b/>
              </w:rPr>
            </w:pPr>
            <w:r w:rsidRPr="00FF61BE">
              <w:rPr>
                <w:b/>
              </w:rPr>
              <w:t>10. Aims of the programme</w:t>
            </w:r>
          </w:p>
        </w:tc>
      </w:tr>
      <w:tr w:rsidR="00F343BB" w:rsidTr="007B10A1">
        <w:trPr>
          <w:jc w:val="center"/>
        </w:trPr>
        <w:tc>
          <w:tcPr>
            <w:tcW w:w="9270" w:type="dxa"/>
            <w:gridSpan w:val="3"/>
            <w:tcBorders>
              <w:top w:val="nil"/>
              <w:bottom w:val="single" w:sz="4" w:space="0" w:color="000000"/>
            </w:tcBorders>
            <w:shd w:val="clear" w:color="auto" w:fill="auto"/>
          </w:tcPr>
          <w:p w:rsidR="00F343BB" w:rsidRPr="004436AF" w:rsidRDefault="00F343BB" w:rsidP="007B10A1">
            <w:pPr>
              <w:ind w:left="720" w:hanging="720"/>
              <w:rPr>
                <w:color w:val="000000"/>
              </w:rPr>
            </w:pPr>
            <w:r w:rsidRPr="004436AF">
              <w:rPr>
                <w:color w:val="000000"/>
              </w:rPr>
              <w:t>The programme aims to:</w:t>
            </w:r>
          </w:p>
          <w:p w:rsidR="00F343BB" w:rsidRPr="004436AF" w:rsidRDefault="00F343BB" w:rsidP="007B10A1">
            <w:pPr>
              <w:ind w:left="720" w:hanging="720"/>
              <w:rPr>
                <w:color w:val="000000"/>
              </w:rPr>
            </w:pPr>
          </w:p>
          <w:p w:rsidR="00F343BB" w:rsidRPr="004436AF" w:rsidRDefault="00F343BB" w:rsidP="007B10A1">
            <w:pPr>
              <w:jc w:val="both"/>
              <w:rPr>
                <w:color w:val="000000"/>
                <w:u w:val="single"/>
              </w:rPr>
            </w:pPr>
            <w:r w:rsidRPr="004436AF">
              <w:rPr>
                <w:color w:val="000000"/>
                <w:u w:val="single"/>
              </w:rPr>
              <w:t>For the postgraduate certificate:</w:t>
            </w:r>
          </w:p>
          <w:p w:rsidR="00F343BB" w:rsidRPr="004436AF" w:rsidRDefault="00F343BB" w:rsidP="00F343BB">
            <w:pPr>
              <w:numPr>
                <w:ilvl w:val="0"/>
                <w:numId w:val="1"/>
              </w:numPr>
              <w:tabs>
                <w:tab w:val="clear" w:pos="720"/>
              </w:tabs>
              <w:suppressAutoHyphens w:val="0"/>
              <w:ind w:left="511"/>
              <w:jc w:val="both"/>
              <w:rPr>
                <w:color w:val="000000"/>
              </w:rPr>
            </w:pPr>
            <w:proofErr w:type="gramStart"/>
            <w:r w:rsidRPr="004436AF">
              <w:rPr>
                <w:color w:val="000000"/>
              </w:rPr>
              <w:t>develop</w:t>
            </w:r>
            <w:proofErr w:type="gramEnd"/>
            <w:r w:rsidRPr="004436AF">
              <w:rPr>
                <w:color w:val="000000"/>
              </w:rPr>
              <w:t xml:space="preserve"> candidates’ awareness, practical skills and understanding, at an advanced professional level, of business enterprise and entrepreneurship concepts and techniques and new venture start-ups;</w:t>
            </w:r>
          </w:p>
          <w:p w:rsidR="00F343BB" w:rsidRPr="004436AF" w:rsidRDefault="00F343BB" w:rsidP="00F343BB">
            <w:pPr>
              <w:numPr>
                <w:ilvl w:val="0"/>
                <w:numId w:val="1"/>
              </w:numPr>
              <w:tabs>
                <w:tab w:val="clear" w:pos="720"/>
              </w:tabs>
              <w:suppressAutoHyphens w:val="0"/>
              <w:ind w:left="511"/>
              <w:jc w:val="both"/>
              <w:rPr>
                <w:color w:val="000000"/>
              </w:rPr>
            </w:pPr>
            <w:proofErr w:type="gramStart"/>
            <w:r w:rsidRPr="004436AF">
              <w:rPr>
                <w:color w:val="000000"/>
              </w:rPr>
              <w:t>develop</w:t>
            </w:r>
            <w:proofErr w:type="gramEnd"/>
            <w:r w:rsidRPr="004436AF">
              <w:rPr>
                <w:color w:val="000000"/>
              </w:rPr>
              <w:t xml:space="preserve"> candidates’ abilities to set themselves up in their own business and prepare them for growth or to enable them to promote themselves in their chosen career path;</w:t>
            </w:r>
          </w:p>
          <w:p w:rsidR="00F343BB" w:rsidRPr="004436AF" w:rsidRDefault="00F343BB" w:rsidP="00F343BB">
            <w:pPr>
              <w:numPr>
                <w:ilvl w:val="0"/>
                <w:numId w:val="1"/>
              </w:numPr>
              <w:tabs>
                <w:tab w:val="clear" w:pos="720"/>
              </w:tabs>
              <w:suppressAutoHyphens w:val="0"/>
              <w:ind w:left="511"/>
              <w:jc w:val="both"/>
              <w:rPr>
                <w:color w:val="000000"/>
              </w:rPr>
            </w:pPr>
            <w:proofErr w:type="gramStart"/>
            <w:r w:rsidRPr="004436AF">
              <w:rPr>
                <w:color w:val="000000"/>
              </w:rPr>
              <w:t>enable</w:t>
            </w:r>
            <w:proofErr w:type="gramEnd"/>
            <w:r w:rsidRPr="004436AF">
              <w:rPr>
                <w:color w:val="000000"/>
              </w:rPr>
              <w:t xml:space="preserve"> candidates to build a career as corporate, public sector or social enterprise employees through leading innovation in different areas of organisations’ operations and outputs;</w:t>
            </w:r>
          </w:p>
          <w:p w:rsidR="00F343BB" w:rsidRPr="004436AF" w:rsidRDefault="00F343BB" w:rsidP="00F343BB">
            <w:pPr>
              <w:numPr>
                <w:ilvl w:val="0"/>
                <w:numId w:val="1"/>
              </w:numPr>
              <w:tabs>
                <w:tab w:val="clear" w:pos="720"/>
              </w:tabs>
              <w:suppressAutoHyphens w:val="0"/>
              <w:ind w:left="511"/>
              <w:jc w:val="both"/>
              <w:rPr>
                <w:color w:val="000000"/>
              </w:rPr>
            </w:pPr>
            <w:proofErr w:type="gramStart"/>
            <w:r w:rsidRPr="004436AF">
              <w:rPr>
                <w:color w:val="000000"/>
              </w:rPr>
              <w:t>enable</w:t>
            </w:r>
            <w:proofErr w:type="gramEnd"/>
            <w:r w:rsidRPr="004436AF">
              <w:rPr>
                <w:color w:val="000000"/>
              </w:rPr>
              <w:t xml:space="preserve"> candidates to develop their potential as entrepreneurs and leaders and their own individual entrepreneurial style.</w:t>
            </w:r>
          </w:p>
          <w:p w:rsidR="00F343BB" w:rsidRPr="004436AF" w:rsidRDefault="00F343BB" w:rsidP="007B10A1">
            <w:pPr>
              <w:ind w:left="360"/>
              <w:jc w:val="both"/>
              <w:rPr>
                <w:color w:val="000000"/>
              </w:rPr>
            </w:pPr>
          </w:p>
          <w:p w:rsidR="00F343BB" w:rsidRPr="004436AF" w:rsidRDefault="00F343BB" w:rsidP="007B10A1">
            <w:pPr>
              <w:jc w:val="both"/>
              <w:rPr>
                <w:color w:val="000000"/>
                <w:u w:val="single"/>
              </w:rPr>
            </w:pPr>
            <w:r w:rsidRPr="004436AF">
              <w:rPr>
                <w:color w:val="000000"/>
                <w:u w:val="single"/>
              </w:rPr>
              <w:t>In addition to the above, for the postgraduate diploma:</w:t>
            </w:r>
          </w:p>
          <w:p w:rsidR="00F343BB" w:rsidRPr="004436AF" w:rsidRDefault="00F343BB" w:rsidP="00F343BB">
            <w:pPr>
              <w:numPr>
                <w:ilvl w:val="0"/>
                <w:numId w:val="1"/>
              </w:numPr>
              <w:tabs>
                <w:tab w:val="clear" w:pos="720"/>
              </w:tabs>
              <w:suppressAutoHyphens w:val="0"/>
              <w:ind w:left="511"/>
              <w:jc w:val="both"/>
              <w:rPr>
                <w:color w:val="000000"/>
              </w:rPr>
            </w:pPr>
            <w:proofErr w:type="gramStart"/>
            <w:r w:rsidRPr="004436AF">
              <w:rPr>
                <w:color w:val="000000"/>
              </w:rPr>
              <w:t>understand</w:t>
            </w:r>
            <w:proofErr w:type="gramEnd"/>
            <w:r w:rsidRPr="004436AF">
              <w:rPr>
                <w:color w:val="000000"/>
              </w:rPr>
              <w:t xml:space="preserve"> the importance, and know how to develop a portfolio of entrepreneurial business relationships and networks that will benefit their businesses;</w:t>
            </w:r>
          </w:p>
          <w:p w:rsidR="00F343BB" w:rsidRPr="004436AF" w:rsidRDefault="00F343BB" w:rsidP="00F343BB">
            <w:pPr>
              <w:numPr>
                <w:ilvl w:val="0"/>
                <w:numId w:val="1"/>
              </w:numPr>
              <w:tabs>
                <w:tab w:val="clear" w:pos="720"/>
              </w:tabs>
              <w:suppressAutoHyphens w:val="0"/>
              <w:ind w:left="511"/>
              <w:jc w:val="both"/>
              <w:rPr>
                <w:color w:val="000000"/>
              </w:rPr>
            </w:pPr>
            <w:proofErr w:type="gramStart"/>
            <w:r w:rsidRPr="004436AF">
              <w:rPr>
                <w:color w:val="000000"/>
              </w:rPr>
              <w:t>develop</w:t>
            </w:r>
            <w:proofErr w:type="gramEnd"/>
            <w:r w:rsidRPr="004436AF">
              <w:rPr>
                <w:color w:val="000000"/>
              </w:rPr>
              <w:t xml:space="preserve"> small business management knowledge and skills.</w:t>
            </w:r>
          </w:p>
          <w:p w:rsidR="00F343BB" w:rsidRPr="004436AF" w:rsidRDefault="00F343BB" w:rsidP="007B10A1">
            <w:pPr>
              <w:ind w:left="511"/>
              <w:jc w:val="both"/>
              <w:rPr>
                <w:color w:val="000000"/>
              </w:rPr>
            </w:pPr>
          </w:p>
          <w:p w:rsidR="00F343BB" w:rsidRPr="004436AF" w:rsidRDefault="00F343BB" w:rsidP="007B10A1">
            <w:pPr>
              <w:jc w:val="both"/>
              <w:rPr>
                <w:color w:val="000000"/>
              </w:rPr>
            </w:pPr>
          </w:p>
          <w:p w:rsidR="00F343BB" w:rsidRPr="004436AF" w:rsidRDefault="00F343BB" w:rsidP="007B10A1">
            <w:pPr>
              <w:jc w:val="both"/>
              <w:rPr>
                <w:i/>
                <w:color w:val="000000"/>
              </w:rPr>
            </w:pPr>
            <w:r w:rsidRPr="004436AF">
              <w:rPr>
                <w:color w:val="000000"/>
                <w:u w:val="single"/>
              </w:rPr>
              <w:t>Those progressing to the MA level will also</w:t>
            </w:r>
            <w:r w:rsidRPr="004436AF">
              <w:rPr>
                <w:i/>
                <w:color w:val="000000"/>
              </w:rPr>
              <w:t>:</w:t>
            </w:r>
          </w:p>
          <w:p w:rsidR="00F343BB" w:rsidRPr="004436AF" w:rsidRDefault="00F343BB" w:rsidP="00F343BB">
            <w:pPr>
              <w:numPr>
                <w:ilvl w:val="0"/>
                <w:numId w:val="1"/>
              </w:numPr>
              <w:tabs>
                <w:tab w:val="clear" w:pos="720"/>
              </w:tabs>
              <w:suppressAutoHyphens w:val="0"/>
              <w:ind w:left="511"/>
              <w:jc w:val="both"/>
              <w:rPr>
                <w:color w:val="000000"/>
              </w:rPr>
            </w:pPr>
            <w:proofErr w:type="gramStart"/>
            <w:r w:rsidRPr="004436AF">
              <w:rPr>
                <w:color w:val="000000"/>
              </w:rPr>
              <w:t>develop</w:t>
            </w:r>
            <w:proofErr w:type="gramEnd"/>
            <w:r w:rsidRPr="004436AF">
              <w:rPr>
                <w:color w:val="000000"/>
              </w:rPr>
              <w:t xml:space="preserve"> skills with a work-based learning element that allows students a time period to concentrate either on building their own business or a practical project of their choice in an organisation developing their entrepreneurship skills.</w:t>
            </w:r>
          </w:p>
          <w:p w:rsidR="00F343BB" w:rsidRPr="004436AF" w:rsidRDefault="00F343BB" w:rsidP="007B10A1">
            <w:pPr>
              <w:rPr>
                <w:color w:val="000000"/>
              </w:rPr>
            </w:pPr>
          </w:p>
          <w:p w:rsidR="00F343BB" w:rsidRPr="00FF61BE" w:rsidRDefault="00F343BB" w:rsidP="007B10A1">
            <w:pPr>
              <w:spacing w:before="60" w:after="60"/>
              <w:rPr>
                <w:b/>
              </w:rPr>
            </w:pPr>
            <w:r w:rsidRPr="004436AF">
              <w:rPr>
                <w:color w:val="000000"/>
              </w:rPr>
              <w:t xml:space="preserve">In the case of the Masters awards these aims will be realised in full.  For earlier exit awards, achievement of aims will be as follows: for the Diploma, all aims stated above will be achieved in full, with the exception of completion of applied project outcomes.  For the Certificate exit award, aims will be achieved at an initial core, but not specialist, level, by </w:t>
            </w:r>
            <w:r w:rsidRPr="004436AF">
              <w:rPr>
                <w:color w:val="000000"/>
              </w:rPr>
              <w:lastRenderedPageBreak/>
              <w:t xml:space="preserve">completing </w:t>
            </w:r>
            <w:r>
              <w:rPr>
                <w:color w:val="000000"/>
              </w:rPr>
              <w:t>the two set modules on management concepts for entrepreneurs and developing a new business venture.</w:t>
            </w:r>
          </w:p>
        </w:tc>
      </w:tr>
      <w:tr w:rsidR="00F343BB" w:rsidTr="007B10A1">
        <w:trPr>
          <w:jc w:val="center"/>
        </w:trPr>
        <w:tc>
          <w:tcPr>
            <w:tcW w:w="9270" w:type="dxa"/>
            <w:gridSpan w:val="3"/>
            <w:tcBorders>
              <w:left w:val="nil"/>
              <w:bottom w:val="single" w:sz="4" w:space="0" w:color="000000"/>
              <w:right w:val="nil"/>
            </w:tcBorders>
            <w:shd w:val="clear" w:color="auto" w:fill="auto"/>
          </w:tcPr>
          <w:p w:rsidR="00F343BB" w:rsidRPr="00FF61BE" w:rsidRDefault="00F343BB" w:rsidP="007B10A1">
            <w:pPr>
              <w:spacing w:before="60" w:after="60"/>
              <w:rPr>
                <w:b/>
              </w:rPr>
            </w:pPr>
          </w:p>
        </w:tc>
      </w:tr>
      <w:tr w:rsidR="00F343BB" w:rsidTr="007B10A1">
        <w:trPr>
          <w:jc w:val="center"/>
        </w:trPr>
        <w:tc>
          <w:tcPr>
            <w:tcW w:w="9270" w:type="dxa"/>
            <w:gridSpan w:val="3"/>
            <w:tcBorders>
              <w:bottom w:val="nil"/>
            </w:tcBorders>
            <w:shd w:val="clear" w:color="auto" w:fill="D9D9D9"/>
          </w:tcPr>
          <w:p w:rsidR="00F343BB" w:rsidRDefault="00F343BB" w:rsidP="007B10A1">
            <w:pPr>
              <w:spacing w:before="60" w:after="60"/>
            </w:pPr>
            <w:r w:rsidRPr="00FF61BE">
              <w:rPr>
                <w:b/>
              </w:rPr>
              <w:t>11. Programme outcomes</w:t>
            </w:r>
          </w:p>
        </w:tc>
      </w:tr>
      <w:tr w:rsidR="00F343BB" w:rsidTr="007B10A1">
        <w:trPr>
          <w:jc w:val="center"/>
        </w:trPr>
        <w:tc>
          <w:tcPr>
            <w:tcW w:w="4538" w:type="dxa"/>
            <w:gridSpan w:val="2"/>
            <w:tcBorders>
              <w:top w:val="nil"/>
              <w:bottom w:val="single" w:sz="4" w:space="0" w:color="000000"/>
            </w:tcBorders>
            <w:shd w:val="clear" w:color="auto" w:fill="auto"/>
          </w:tcPr>
          <w:p w:rsidR="00F343BB" w:rsidRPr="00FF61BE" w:rsidRDefault="00F343BB" w:rsidP="007B10A1">
            <w:pPr>
              <w:rPr>
                <w:b/>
              </w:rPr>
            </w:pPr>
            <w:r w:rsidRPr="00FF61BE">
              <w:rPr>
                <w:b/>
              </w:rPr>
              <w:t>A. Knowledge and understanding</w:t>
            </w:r>
          </w:p>
          <w:p w:rsidR="00F343BB" w:rsidRDefault="00F343BB" w:rsidP="007B10A1">
            <w:r w:rsidRPr="0092146D">
              <w:rPr>
                <w:b/>
              </w:rPr>
              <w:t>Outcomes:</w:t>
            </w:r>
            <w:r w:rsidRPr="0092146D">
              <w:t xml:space="preserve"> On successful completion of this programme the successful student will have a knowledge and understanding</w:t>
            </w:r>
            <w:r>
              <w:t>, at an advanced level, of:</w:t>
            </w:r>
          </w:p>
          <w:p w:rsidR="00F343BB" w:rsidRPr="0092146D" w:rsidRDefault="00F343BB" w:rsidP="007B10A1"/>
          <w:p w:rsidR="00F343BB" w:rsidRPr="0092146D" w:rsidRDefault="00F343BB" w:rsidP="007B10A1">
            <w:pPr>
              <w:ind w:left="370" w:hanging="370"/>
            </w:pPr>
            <w:r w:rsidRPr="0092146D">
              <w:t>A</w:t>
            </w:r>
            <w:r>
              <w:t>1</w:t>
            </w:r>
            <w:r>
              <w:tab/>
            </w:r>
            <w:r w:rsidRPr="0092146D">
              <w:t>Core concepts and theories of business enterprise and entrepreneurship management practice in a variety of settings</w:t>
            </w:r>
            <w:r>
              <w:t>;</w:t>
            </w:r>
          </w:p>
          <w:p w:rsidR="00F343BB" w:rsidRPr="0092146D" w:rsidRDefault="00F343BB" w:rsidP="007B10A1">
            <w:pPr>
              <w:ind w:left="370" w:hanging="370"/>
            </w:pPr>
            <w:r w:rsidRPr="0092146D">
              <w:t>A</w:t>
            </w:r>
            <w:r>
              <w:t>2</w:t>
            </w:r>
            <w:r w:rsidRPr="0092146D">
              <w:tab/>
              <w:t>The essential content of entrepreneurship and the application to that content of insights from specialist management disciplines</w:t>
            </w:r>
            <w:r>
              <w:t>;</w:t>
            </w:r>
            <w:r w:rsidRPr="0092146D">
              <w:tab/>
            </w:r>
          </w:p>
          <w:p w:rsidR="00F343BB" w:rsidRPr="0092146D" w:rsidRDefault="00F343BB" w:rsidP="007B10A1">
            <w:pPr>
              <w:tabs>
                <w:tab w:val="left" w:pos="459"/>
                <w:tab w:val="left" w:pos="601"/>
              </w:tabs>
              <w:ind w:left="370" w:hanging="370"/>
            </w:pPr>
            <w:r>
              <w:t>A3</w:t>
            </w:r>
            <w:r w:rsidRPr="0092146D">
              <w:tab/>
              <w:t xml:space="preserve">Emerging issues and developments in contemporary </w:t>
            </w:r>
            <w:r>
              <w:t>entrepreneurship</w:t>
            </w:r>
            <w:r w:rsidRPr="0092146D">
              <w:t xml:space="preserve"> practice</w:t>
            </w:r>
            <w:r>
              <w:t>;</w:t>
            </w:r>
          </w:p>
          <w:p w:rsidR="00F343BB" w:rsidRDefault="00F343BB" w:rsidP="007B10A1">
            <w:pPr>
              <w:suppressAutoHyphens w:val="0"/>
              <w:ind w:left="370" w:hanging="370"/>
            </w:pPr>
            <w:r>
              <w:t>A4</w:t>
            </w:r>
            <w:r>
              <w:tab/>
            </w:r>
            <w:r w:rsidRPr="0092146D">
              <w:t xml:space="preserve">Methods and techniques deployed in </w:t>
            </w:r>
            <w:r>
              <w:t xml:space="preserve">entrepreneurship and management research </w:t>
            </w:r>
            <w:r w:rsidRPr="0092146D">
              <w:t>and scholarship</w:t>
            </w:r>
            <w:r>
              <w:t>.</w:t>
            </w:r>
          </w:p>
          <w:p w:rsidR="00F343BB" w:rsidRPr="00BD3C55" w:rsidRDefault="00F343BB" w:rsidP="007B10A1">
            <w:pPr>
              <w:suppressAutoHyphens w:val="0"/>
              <w:ind w:left="370" w:hanging="370"/>
            </w:pPr>
          </w:p>
        </w:tc>
        <w:tc>
          <w:tcPr>
            <w:tcW w:w="4732" w:type="dxa"/>
            <w:tcBorders>
              <w:top w:val="nil"/>
              <w:bottom w:val="single" w:sz="4" w:space="0" w:color="000000"/>
            </w:tcBorders>
            <w:shd w:val="clear" w:color="auto" w:fill="auto"/>
          </w:tcPr>
          <w:p w:rsidR="00F343BB" w:rsidRDefault="00F343BB" w:rsidP="007B10A1">
            <w:pPr>
              <w:rPr>
                <w:b/>
              </w:rPr>
            </w:pPr>
            <w:r>
              <w:rPr>
                <w:b/>
              </w:rPr>
              <w:t>Teaching/learning methods</w:t>
            </w:r>
          </w:p>
          <w:p w:rsidR="00F343BB" w:rsidRDefault="00F343BB" w:rsidP="007B10A1">
            <w:pPr>
              <w:tabs>
                <w:tab w:val="left" w:pos="426"/>
              </w:tabs>
            </w:pPr>
            <w:r>
              <w:t>Students gain knowledge and understanding in the specified areas through a combination of lectures, directed reading, guided independent study, including extensive use of online resources, simulated business games, case studies, guest/visiting speakers, group work, coursework, critical reflection, facilitated discussion, workshops and the applied project.</w:t>
            </w:r>
          </w:p>
          <w:p w:rsidR="00F343BB" w:rsidRDefault="00F343BB" w:rsidP="007B10A1">
            <w:pPr>
              <w:rPr>
                <w:b/>
              </w:rPr>
            </w:pPr>
          </w:p>
          <w:p w:rsidR="00F343BB" w:rsidRDefault="00F343BB" w:rsidP="007B10A1">
            <w:pPr>
              <w:rPr>
                <w:b/>
              </w:rPr>
            </w:pPr>
            <w:r>
              <w:rPr>
                <w:b/>
              </w:rPr>
              <w:t>Assessment Method</w:t>
            </w:r>
          </w:p>
          <w:p w:rsidR="00F343BB" w:rsidRPr="00BD3C55" w:rsidRDefault="00F343BB" w:rsidP="007B10A1">
            <w:r>
              <w:t>Students’ knowledge and understanding is assessed by an interlocking combination of: individual and group coursework, seen and unseen examination, and the applied project.</w:t>
            </w:r>
          </w:p>
        </w:tc>
      </w:tr>
      <w:tr w:rsidR="00F343BB" w:rsidTr="007B10A1">
        <w:trPr>
          <w:jc w:val="center"/>
        </w:trPr>
        <w:tc>
          <w:tcPr>
            <w:tcW w:w="4538" w:type="dxa"/>
            <w:gridSpan w:val="2"/>
            <w:tcBorders>
              <w:top w:val="nil"/>
              <w:bottom w:val="single" w:sz="4" w:space="0" w:color="000000"/>
            </w:tcBorders>
            <w:shd w:val="clear" w:color="auto" w:fill="auto"/>
          </w:tcPr>
          <w:p w:rsidR="00F343BB" w:rsidRPr="00FF61BE" w:rsidRDefault="00F343BB" w:rsidP="007B10A1">
            <w:pPr>
              <w:rPr>
                <w:b/>
              </w:rPr>
            </w:pPr>
            <w:r w:rsidRPr="00FF61BE">
              <w:rPr>
                <w:b/>
              </w:rPr>
              <w:t>B. Cognitive (thinking) skills</w:t>
            </w:r>
          </w:p>
          <w:p w:rsidR="00F343BB" w:rsidRDefault="00F343BB" w:rsidP="007B10A1">
            <w:r>
              <w:rPr>
                <w:b/>
              </w:rPr>
              <w:t>Outcomes:</w:t>
            </w:r>
            <w:r>
              <w:t xml:space="preserve"> On completion of this programme the successful student will be able, at an advanced level, to:</w:t>
            </w:r>
          </w:p>
          <w:p w:rsidR="00F343BB" w:rsidRDefault="00F343BB" w:rsidP="007B10A1">
            <w:pPr>
              <w:ind w:left="370" w:hanging="370"/>
            </w:pPr>
          </w:p>
          <w:p w:rsidR="00F343BB" w:rsidRPr="00300A91" w:rsidRDefault="00F343BB" w:rsidP="007B10A1">
            <w:pPr>
              <w:ind w:left="370" w:hanging="370"/>
            </w:pPr>
            <w:proofErr w:type="gramStart"/>
            <w:r>
              <w:t>B1  m</w:t>
            </w:r>
            <w:r w:rsidRPr="00300A91">
              <w:t>ake</w:t>
            </w:r>
            <w:proofErr w:type="gramEnd"/>
            <w:r w:rsidRPr="00300A91">
              <w:t xml:space="preserve"> decisions, spot opportunities and solve complex problems </w:t>
            </w:r>
            <w:r>
              <w:t xml:space="preserve">creatively </w:t>
            </w:r>
            <w:r w:rsidRPr="00300A91">
              <w:t>regarding entrepreneurship in a variety of settings;</w:t>
            </w:r>
          </w:p>
          <w:p w:rsidR="00F343BB" w:rsidRDefault="00F343BB" w:rsidP="007B10A1">
            <w:pPr>
              <w:ind w:left="370" w:hanging="370"/>
            </w:pPr>
            <w:proofErr w:type="gramStart"/>
            <w:r>
              <w:t>B2  demonstrate</w:t>
            </w:r>
            <w:proofErr w:type="gramEnd"/>
            <w:r>
              <w:t xml:space="preserve"> advanced levels of creative and reflective thinking applied to entrepreneurship and related topics;</w:t>
            </w:r>
          </w:p>
          <w:p w:rsidR="00F343BB" w:rsidRDefault="00F343BB" w:rsidP="007B10A1">
            <w:pPr>
              <w:ind w:left="370" w:hanging="370"/>
            </w:pPr>
            <w:proofErr w:type="gramStart"/>
            <w:r>
              <w:t>B3  critically</w:t>
            </w:r>
            <w:proofErr w:type="gramEnd"/>
            <w:r>
              <w:t xml:space="preserve"> evaluate aspects of entrepreneurial work in relation to entrepreneurship concepts and theory;</w:t>
            </w:r>
          </w:p>
          <w:p w:rsidR="00F343BB" w:rsidRPr="00E93166" w:rsidRDefault="00F343BB" w:rsidP="007B10A1">
            <w:pPr>
              <w:ind w:left="370" w:hanging="370"/>
            </w:pPr>
            <w:r>
              <w:t>B4</w:t>
            </w:r>
            <w:r>
              <w:tab/>
              <w:t>synthesise information from multiple sources and provide argued support for interpretations and evaluations made on the basis of such information.</w:t>
            </w:r>
          </w:p>
          <w:p w:rsidR="00F343BB" w:rsidRPr="00BD3C55" w:rsidRDefault="00F343BB" w:rsidP="007B10A1">
            <w:pPr>
              <w:suppressAutoHyphens w:val="0"/>
              <w:ind w:left="426"/>
            </w:pPr>
          </w:p>
        </w:tc>
        <w:tc>
          <w:tcPr>
            <w:tcW w:w="4732" w:type="dxa"/>
            <w:tcBorders>
              <w:top w:val="nil"/>
              <w:bottom w:val="single" w:sz="4" w:space="0" w:color="000000"/>
            </w:tcBorders>
            <w:shd w:val="clear" w:color="auto" w:fill="auto"/>
          </w:tcPr>
          <w:p w:rsidR="00F343BB" w:rsidRDefault="00F343BB" w:rsidP="007B10A1">
            <w:pPr>
              <w:rPr>
                <w:b/>
              </w:rPr>
            </w:pPr>
            <w:r>
              <w:rPr>
                <w:b/>
              </w:rPr>
              <w:t>Teaching/learning methods</w:t>
            </w:r>
          </w:p>
          <w:p w:rsidR="00F343BB" w:rsidRDefault="00F343BB" w:rsidP="007B10A1">
            <w:r>
              <w:t xml:space="preserve">Students learn the stated cognitive skills through methods outlined in </w:t>
            </w:r>
            <w:proofErr w:type="gramStart"/>
            <w:r>
              <w:rPr>
                <w:b/>
              </w:rPr>
              <w:t>A</w:t>
            </w:r>
            <w:proofErr w:type="gramEnd"/>
            <w:r>
              <w:t xml:space="preserve"> above; in particular, creative thinking, analysis, synthesis and evaluation are developed in seminar discussion and debate, as well as through independent study, including use of online resources.  Practical guidance is given on all course-related tasks, and feedback is provided on all assessed coursework.</w:t>
            </w:r>
          </w:p>
          <w:p w:rsidR="00F343BB" w:rsidRDefault="00F343BB" w:rsidP="007B10A1"/>
          <w:p w:rsidR="00F343BB" w:rsidRDefault="00F343BB" w:rsidP="007B10A1">
            <w:pPr>
              <w:rPr>
                <w:b/>
              </w:rPr>
            </w:pPr>
            <w:r>
              <w:rPr>
                <w:b/>
              </w:rPr>
              <w:t>Assessment Method</w:t>
            </w:r>
          </w:p>
          <w:p w:rsidR="00F343BB" w:rsidRDefault="00F343BB" w:rsidP="007B10A1">
            <w:r>
              <w:t xml:space="preserve">Students’ cognitive skills are assessed on the basis of </w:t>
            </w:r>
          </w:p>
          <w:p w:rsidR="00F343BB" w:rsidRDefault="00F343BB" w:rsidP="007B10A1">
            <w:proofErr w:type="gramStart"/>
            <w:r>
              <w:t>group</w:t>
            </w:r>
            <w:proofErr w:type="gramEnd"/>
            <w:r>
              <w:t xml:space="preserve"> and individual coursework, as well as seen and unseen examination, and the applied project.</w:t>
            </w:r>
          </w:p>
        </w:tc>
      </w:tr>
      <w:tr w:rsidR="00F343BB" w:rsidTr="007B10A1">
        <w:trPr>
          <w:jc w:val="center"/>
        </w:trPr>
        <w:tc>
          <w:tcPr>
            <w:tcW w:w="4538" w:type="dxa"/>
            <w:gridSpan w:val="2"/>
            <w:tcBorders>
              <w:top w:val="nil"/>
              <w:bottom w:val="single" w:sz="4" w:space="0" w:color="000000"/>
            </w:tcBorders>
            <w:shd w:val="clear" w:color="auto" w:fill="auto"/>
          </w:tcPr>
          <w:p w:rsidR="00F343BB" w:rsidRPr="00FF61BE" w:rsidRDefault="00F343BB" w:rsidP="007B10A1">
            <w:pPr>
              <w:rPr>
                <w:b/>
              </w:rPr>
            </w:pPr>
            <w:r w:rsidRPr="00FF61BE">
              <w:rPr>
                <w:b/>
              </w:rPr>
              <w:t>C. Practical skills</w:t>
            </w:r>
          </w:p>
          <w:p w:rsidR="00F343BB" w:rsidRDefault="00F343BB" w:rsidP="007B10A1">
            <w:r>
              <w:rPr>
                <w:b/>
              </w:rPr>
              <w:t>Outcomes:</w:t>
            </w:r>
            <w:r>
              <w:t xml:space="preserve"> On completion of the programme successful students will be able, at an advanced level, to:</w:t>
            </w:r>
          </w:p>
          <w:p w:rsidR="00F343BB" w:rsidRDefault="00F343BB" w:rsidP="007B10A1"/>
          <w:p w:rsidR="00F343BB" w:rsidRDefault="00F343BB" w:rsidP="007B10A1">
            <w:pPr>
              <w:tabs>
                <w:tab w:val="left" w:pos="506"/>
              </w:tabs>
              <w:ind w:left="370" w:hanging="370"/>
            </w:pPr>
            <w:r>
              <w:t>C1</w:t>
            </w:r>
            <w:r>
              <w:tab/>
              <w:t>demonstrate their development of advanced skills in entrepreneurship practice;</w:t>
            </w:r>
          </w:p>
          <w:p w:rsidR="00F343BB" w:rsidRDefault="00F343BB" w:rsidP="007B10A1">
            <w:pPr>
              <w:ind w:left="370" w:hanging="370"/>
            </w:pPr>
            <w:r>
              <w:t>C2</w:t>
            </w:r>
            <w:r>
              <w:tab/>
              <w:t>demonstrate</w:t>
            </w:r>
            <w:r w:rsidRPr="00300A91">
              <w:t xml:space="preserve"> </w:t>
            </w:r>
            <w:r>
              <w:t>their</w:t>
            </w:r>
            <w:r w:rsidRPr="00300A91">
              <w:t xml:space="preserve"> abilities to set themselves up in their own busine</w:t>
            </w:r>
            <w:r>
              <w:t xml:space="preserve">ss and prepare them for growth </w:t>
            </w:r>
            <w:r w:rsidRPr="00300A91">
              <w:t xml:space="preserve">or to enable them to promote themselves in their chosen </w:t>
            </w:r>
            <w:r>
              <w:t>profession;</w:t>
            </w:r>
          </w:p>
          <w:p w:rsidR="00F343BB" w:rsidRDefault="00F343BB" w:rsidP="007B10A1">
            <w:pPr>
              <w:ind w:left="370" w:hanging="370"/>
            </w:pPr>
            <w:r>
              <w:t>C3</w:t>
            </w:r>
            <w:r>
              <w:tab/>
              <w:t xml:space="preserve">deploy their abilities to </w:t>
            </w:r>
            <w:r w:rsidRPr="00300A91">
              <w:t>build a career</w:t>
            </w:r>
            <w:r>
              <w:t>, if they choose,</w:t>
            </w:r>
            <w:r w:rsidRPr="00300A91">
              <w:t xml:space="preserve"> as corporate, public sector or social enterprise employees through leading innovation in different areas of organisations’ operations and outputs;</w:t>
            </w:r>
          </w:p>
          <w:p w:rsidR="00F343BB" w:rsidRDefault="00F343BB" w:rsidP="007B10A1">
            <w:pPr>
              <w:ind w:left="370" w:hanging="370"/>
            </w:pPr>
            <w:r>
              <w:t>C4</w:t>
            </w:r>
            <w:r>
              <w:tab/>
              <w:t>deploy a range of relevant communication techniques in a professional manner, including written and/or oral presentations;</w:t>
            </w:r>
          </w:p>
          <w:p w:rsidR="00F343BB" w:rsidRDefault="00F343BB" w:rsidP="007B10A1">
            <w:pPr>
              <w:ind w:left="370" w:hanging="370"/>
            </w:pPr>
            <w:r>
              <w:t>C5</w:t>
            </w:r>
            <w:r>
              <w:tab/>
              <w:t>deploy</w:t>
            </w:r>
            <w:r w:rsidRPr="00300A91">
              <w:t xml:space="preserve"> their potential as entrepreneurs and leaders and </w:t>
            </w:r>
            <w:r>
              <w:t xml:space="preserve">develop </w:t>
            </w:r>
            <w:r w:rsidRPr="00300A91">
              <w:t>their own i</w:t>
            </w:r>
            <w:r>
              <w:t>ndividual entrepreneurial style;</w:t>
            </w:r>
          </w:p>
          <w:p w:rsidR="00F343BB" w:rsidRDefault="00F343BB" w:rsidP="007B10A1">
            <w:pPr>
              <w:ind w:left="370" w:hanging="370"/>
            </w:pPr>
            <w:r>
              <w:t xml:space="preserve">C6 </w:t>
            </w:r>
            <w:r>
              <w:tab/>
              <w:t xml:space="preserve">deploy their potential to </w:t>
            </w:r>
            <w:r w:rsidRPr="00300A91">
              <w:t>lead innovation and entrepreneurship in different areas of organisations’ operations and outputs;</w:t>
            </w:r>
          </w:p>
          <w:p w:rsidR="00F343BB" w:rsidRDefault="00F343BB" w:rsidP="007B10A1">
            <w:pPr>
              <w:tabs>
                <w:tab w:val="left" w:pos="506"/>
              </w:tabs>
              <w:ind w:left="370" w:hanging="370"/>
            </w:pPr>
            <w:r>
              <w:t>C7</w:t>
            </w:r>
            <w:r>
              <w:tab/>
              <w:t xml:space="preserve">demonstrate their capability for self-directed and self-managed learning dealing with </w:t>
            </w:r>
            <w:proofErr w:type="gramStart"/>
            <w:r>
              <w:t>professionally-based</w:t>
            </w:r>
            <w:proofErr w:type="gramEnd"/>
            <w:r>
              <w:t xml:space="preserve"> tasks and problems and work-based learning opportunities.</w:t>
            </w:r>
          </w:p>
          <w:p w:rsidR="00F343BB" w:rsidRPr="00391C8F" w:rsidRDefault="00F343BB" w:rsidP="007B10A1">
            <w:pPr>
              <w:tabs>
                <w:tab w:val="left" w:pos="506"/>
              </w:tabs>
              <w:ind w:left="459" w:hanging="459"/>
            </w:pPr>
          </w:p>
        </w:tc>
        <w:tc>
          <w:tcPr>
            <w:tcW w:w="4732" w:type="dxa"/>
            <w:tcBorders>
              <w:top w:val="nil"/>
              <w:bottom w:val="single" w:sz="4" w:space="0" w:color="000000"/>
            </w:tcBorders>
            <w:shd w:val="clear" w:color="auto" w:fill="auto"/>
          </w:tcPr>
          <w:p w:rsidR="00F343BB" w:rsidRDefault="00F343BB" w:rsidP="007B10A1">
            <w:pPr>
              <w:rPr>
                <w:b/>
              </w:rPr>
            </w:pPr>
            <w:r>
              <w:rPr>
                <w:b/>
              </w:rPr>
              <w:t>Teaching/learning methods</w:t>
            </w:r>
          </w:p>
          <w:p w:rsidR="00F343BB" w:rsidRDefault="00F343BB" w:rsidP="007B10A1">
            <w:pPr>
              <w:tabs>
                <w:tab w:val="left" w:pos="426"/>
              </w:tabs>
            </w:pPr>
            <w:r>
              <w:t>Students strengthen their existing practical skills through a simulated business game especially in MGT4460.  Additionally, practical skills are reinforced and extended through the following: seminar presentations and discussion, individual and group coursework, independent study and specialised research-method workshops.</w:t>
            </w:r>
          </w:p>
          <w:p w:rsidR="00F343BB" w:rsidRDefault="00F343BB" w:rsidP="007B10A1"/>
          <w:p w:rsidR="00F343BB" w:rsidRDefault="00F343BB" w:rsidP="007B10A1">
            <w:pPr>
              <w:rPr>
                <w:b/>
              </w:rPr>
            </w:pPr>
            <w:r>
              <w:rPr>
                <w:b/>
              </w:rPr>
              <w:t>Assessment Method</w:t>
            </w:r>
          </w:p>
          <w:p w:rsidR="00F343BB" w:rsidRDefault="00F343BB" w:rsidP="007B10A1">
            <w:r>
              <w:t>Students’ practical skills are assessed by: group and individual coursework, seen and unseen examination, and the applied project.</w:t>
            </w:r>
          </w:p>
        </w:tc>
      </w:tr>
    </w:tbl>
    <w:p w:rsidR="00F343BB" w:rsidRDefault="00F343BB" w:rsidP="00F343BB"/>
    <w:p w:rsidR="00F343BB" w:rsidRDefault="00F343BB" w:rsidP="00F343BB">
      <w:r>
        <w:br w:type="page"/>
      </w:r>
    </w:p>
    <w:tbl>
      <w:tblPr>
        <w:tblW w:w="9270" w:type="dxa"/>
        <w:jc w:val="center"/>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0"/>
        <w:gridCol w:w="1578"/>
        <w:gridCol w:w="1577"/>
        <w:gridCol w:w="3155"/>
      </w:tblGrid>
      <w:tr w:rsidR="00F343BB" w:rsidTr="007B10A1">
        <w:trPr>
          <w:jc w:val="center"/>
        </w:trPr>
        <w:tc>
          <w:tcPr>
            <w:tcW w:w="9270" w:type="dxa"/>
            <w:gridSpan w:val="4"/>
            <w:shd w:val="clear" w:color="auto" w:fill="D9D9D9"/>
          </w:tcPr>
          <w:p w:rsidR="00F343BB" w:rsidRPr="00FF61BE" w:rsidRDefault="00F343BB" w:rsidP="007B10A1">
            <w:pPr>
              <w:snapToGrid w:val="0"/>
              <w:rPr>
                <w:b/>
              </w:rPr>
            </w:pPr>
            <w:r w:rsidRPr="00FF61BE">
              <w:rPr>
                <w:b/>
              </w:rPr>
              <w:t>12. Programme structure (levels, modules, credits and progression requirements)</w:t>
            </w:r>
          </w:p>
        </w:tc>
      </w:tr>
      <w:tr w:rsidR="00F343BB" w:rsidTr="007B10A1">
        <w:trPr>
          <w:jc w:val="center"/>
        </w:trPr>
        <w:tc>
          <w:tcPr>
            <w:tcW w:w="9270" w:type="dxa"/>
            <w:gridSpan w:val="4"/>
            <w:shd w:val="clear" w:color="auto" w:fill="D9D9D9"/>
          </w:tcPr>
          <w:p w:rsidR="00F343BB" w:rsidRPr="00FF61BE" w:rsidRDefault="00F343BB" w:rsidP="007B10A1">
            <w:pPr>
              <w:snapToGrid w:val="0"/>
              <w:rPr>
                <w:b/>
              </w:rPr>
            </w:pPr>
            <w:r w:rsidRPr="00FF61BE">
              <w:rPr>
                <w:b/>
              </w:rPr>
              <w:t>12. 1 Overall structure of the programme</w:t>
            </w:r>
          </w:p>
        </w:tc>
      </w:tr>
      <w:tr w:rsidR="00F343BB" w:rsidTr="007B10A1">
        <w:trPr>
          <w:jc w:val="center"/>
        </w:trPr>
        <w:tc>
          <w:tcPr>
            <w:tcW w:w="9270" w:type="dxa"/>
            <w:gridSpan w:val="4"/>
            <w:tcBorders>
              <w:bottom w:val="single" w:sz="4" w:space="0" w:color="000000"/>
            </w:tcBorders>
            <w:shd w:val="clear" w:color="auto" w:fill="auto"/>
          </w:tcPr>
          <w:p w:rsidR="00F343BB" w:rsidRDefault="00F343BB" w:rsidP="007B10A1">
            <w:r>
              <w:t>The MA consists of five compulsory modules in total.  Of these, four are 30-credit, Level 4 modules.  Each module is delivered over one term (12-weeks).  Full-time students take two modules per term and part-time students take one module per term.  The final and fifth module is the project module (60-credits</w:t>
            </w:r>
            <w:proofErr w:type="gramStart"/>
            <w:r>
              <w:t>) which</w:t>
            </w:r>
            <w:proofErr w:type="gramEnd"/>
            <w:r>
              <w:t xml:space="preserve"> focuses on a substantial written piece of largely self-directed work. </w:t>
            </w:r>
          </w:p>
          <w:p w:rsidR="00F343BB" w:rsidRDefault="00F343BB" w:rsidP="007B10A1">
            <w:r>
              <w:t xml:space="preserve">The PG Dip consists of four compulsory modules in total.  These are all 30-credit level 4 modules.  Full-time students take two modules per term and part-time students take one module per term.  </w:t>
            </w:r>
          </w:p>
          <w:p w:rsidR="00F343BB" w:rsidRDefault="00F343BB" w:rsidP="007B10A1">
            <w:pPr>
              <w:rPr>
                <w:bCs/>
              </w:rPr>
            </w:pPr>
            <w:r>
              <w:t>The PG Cert consists of one compulsory module (</w:t>
            </w:r>
            <w:r w:rsidRPr="005B7A26">
              <w:rPr>
                <w:bCs/>
              </w:rPr>
              <w:t>MGT 4455</w:t>
            </w:r>
            <w:r>
              <w:rPr>
                <w:bCs/>
              </w:rPr>
              <w:t>) and one elective from a choice of three modules.  All modules are 30-credit level 4 modules.</w:t>
            </w:r>
          </w:p>
          <w:p w:rsidR="00F343BB" w:rsidRDefault="00F343BB" w:rsidP="007B10A1">
            <w:pPr>
              <w:rPr>
                <w:bCs/>
              </w:rPr>
            </w:pPr>
          </w:p>
          <w:p w:rsidR="00F343BB" w:rsidRPr="005B7A26" w:rsidRDefault="00F343BB" w:rsidP="007B10A1">
            <w:pPr>
              <w:jc w:val="both"/>
              <w:rPr>
                <w:bCs/>
              </w:rPr>
            </w:pPr>
            <w:r w:rsidRPr="005B7A26">
              <w:rPr>
                <w:bCs/>
              </w:rPr>
              <w:t xml:space="preserve">MGT 4455 </w:t>
            </w:r>
            <w:proofErr w:type="gramStart"/>
            <w:r w:rsidRPr="005B7A26">
              <w:rPr>
                <w:bCs/>
              </w:rPr>
              <w:t xml:space="preserve">-  </w:t>
            </w:r>
            <w:r>
              <w:rPr>
                <w:bCs/>
              </w:rPr>
              <w:t>Entrepreneurship</w:t>
            </w:r>
            <w:proofErr w:type="gramEnd"/>
            <w:r>
              <w:rPr>
                <w:bCs/>
              </w:rPr>
              <w:t xml:space="preserve"> Concepts, Theory and Practice</w:t>
            </w:r>
            <w:r w:rsidRPr="005B7A26">
              <w:rPr>
                <w:bCs/>
              </w:rPr>
              <w:t xml:space="preserve"> (30 credits)</w:t>
            </w:r>
          </w:p>
          <w:p w:rsidR="00F343BB" w:rsidRPr="005B7A26" w:rsidRDefault="00F343BB" w:rsidP="007B10A1">
            <w:pPr>
              <w:jc w:val="both"/>
              <w:rPr>
                <w:bCs/>
              </w:rPr>
            </w:pPr>
            <w:r w:rsidRPr="005B7A26">
              <w:rPr>
                <w:bCs/>
              </w:rPr>
              <w:t xml:space="preserve">MGT 4460 </w:t>
            </w:r>
            <w:proofErr w:type="gramStart"/>
            <w:r w:rsidRPr="005B7A26">
              <w:rPr>
                <w:bCs/>
              </w:rPr>
              <w:t>-  Business</w:t>
            </w:r>
            <w:proofErr w:type="gramEnd"/>
            <w:r w:rsidRPr="005B7A26">
              <w:rPr>
                <w:bCs/>
              </w:rPr>
              <w:t xml:space="preserve"> Planning and New Venture Development (30 credits)</w:t>
            </w:r>
          </w:p>
          <w:p w:rsidR="00F343BB" w:rsidRPr="002D7C8D" w:rsidRDefault="00F343BB" w:rsidP="007B10A1">
            <w:pPr>
              <w:jc w:val="both"/>
              <w:rPr>
                <w:bCs/>
              </w:rPr>
            </w:pPr>
            <w:r w:rsidRPr="002D7C8D">
              <w:rPr>
                <w:bCs/>
              </w:rPr>
              <w:t>MGT 4465</w:t>
            </w:r>
            <w:r>
              <w:rPr>
                <w:bCs/>
              </w:rPr>
              <w:t xml:space="preserve"> </w:t>
            </w:r>
            <w:proofErr w:type="gramStart"/>
            <w:r>
              <w:rPr>
                <w:bCs/>
              </w:rPr>
              <w:t xml:space="preserve">- </w:t>
            </w:r>
            <w:r w:rsidRPr="002D7C8D">
              <w:rPr>
                <w:bCs/>
              </w:rPr>
              <w:t xml:space="preserve"> </w:t>
            </w:r>
            <w:r w:rsidRPr="002D7C8D">
              <w:t>Developing</w:t>
            </w:r>
            <w:proofErr w:type="gramEnd"/>
            <w:r w:rsidRPr="002D7C8D">
              <w:t xml:space="preserve"> Business Networks for Entrepreneurs</w:t>
            </w:r>
            <w:r w:rsidRPr="002D7C8D">
              <w:rPr>
                <w:bCs/>
              </w:rPr>
              <w:t xml:space="preserve"> (30 Credits) </w:t>
            </w:r>
          </w:p>
          <w:p w:rsidR="00F343BB" w:rsidRPr="005B7A26" w:rsidRDefault="00F343BB" w:rsidP="007B10A1">
            <w:pPr>
              <w:rPr>
                <w:bCs/>
              </w:rPr>
            </w:pPr>
            <w:r w:rsidRPr="005B7A26">
              <w:rPr>
                <w:bCs/>
              </w:rPr>
              <w:t xml:space="preserve">MKT 4013 </w:t>
            </w:r>
            <w:proofErr w:type="gramStart"/>
            <w:r w:rsidRPr="005B7A26">
              <w:rPr>
                <w:bCs/>
              </w:rPr>
              <w:t xml:space="preserve">- </w:t>
            </w:r>
            <w:r>
              <w:rPr>
                <w:bCs/>
              </w:rPr>
              <w:t xml:space="preserve"> </w:t>
            </w:r>
            <w:r w:rsidRPr="005B7A26">
              <w:rPr>
                <w:bCs/>
              </w:rPr>
              <w:t>Entrepreneurship</w:t>
            </w:r>
            <w:proofErr w:type="gramEnd"/>
            <w:r w:rsidRPr="005B7A26">
              <w:rPr>
                <w:bCs/>
              </w:rPr>
              <w:t>, Innovation and Small Business Management (30 credits)</w:t>
            </w:r>
          </w:p>
          <w:p w:rsidR="00F343BB" w:rsidRPr="00FF61BE" w:rsidRDefault="00F343BB" w:rsidP="007B10A1">
            <w:pPr>
              <w:rPr>
                <w:b/>
              </w:rPr>
            </w:pPr>
            <w:r w:rsidRPr="005B7A26">
              <w:t>MGT 4470 -</w:t>
            </w:r>
            <w:r>
              <w:t xml:space="preserve"> Applied Project (60 credits</w:t>
            </w:r>
            <w:r w:rsidRPr="005B7A26">
              <w:t>)</w:t>
            </w:r>
          </w:p>
          <w:p w:rsidR="00F343BB" w:rsidRPr="00FF61BE" w:rsidRDefault="00F343BB" w:rsidP="007B10A1">
            <w:pPr>
              <w:rPr>
                <w:b/>
                <w:sz w:val="18"/>
              </w:rPr>
            </w:pPr>
          </w:p>
        </w:tc>
      </w:tr>
      <w:tr w:rsidR="00F343BB" w:rsidTr="007B10A1">
        <w:trPr>
          <w:jc w:val="center"/>
        </w:trPr>
        <w:tc>
          <w:tcPr>
            <w:tcW w:w="9270" w:type="dxa"/>
            <w:gridSpan w:val="4"/>
            <w:tcBorders>
              <w:left w:val="nil"/>
              <w:right w:val="nil"/>
            </w:tcBorders>
            <w:shd w:val="clear" w:color="auto" w:fill="auto"/>
          </w:tcPr>
          <w:p w:rsidR="00F343BB" w:rsidRPr="00FF61BE" w:rsidRDefault="00F343BB" w:rsidP="007B10A1">
            <w:pPr>
              <w:rPr>
                <w:b/>
              </w:rPr>
            </w:pPr>
          </w:p>
        </w:tc>
      </w:tr>
      <w:tr w:rsidR="00F343BB" w:rsidTr="007B10A1">
        <w:trPr>
          <w:jc w:val="center"/>
        </w:trPr>
        <w:tc>
          <w:tcPr>
            <w:tcW w:w="9270" w:type="dxa"/>
            <w:gridSpan w:val="4"/>
            <w:shd w:val="clear" w:color="auto" w:fill="D9D9D9"/>
          </w:tcPr>
          <w:p w:rsidR="00F343BB" w:rsidRPr="00FF61BE" w:rsidRDefault="00F343BB" w:rsidP="007B10A1">
            <w:pPr>
              <w:snapToGrid w:val="0"/>
              <w:rPr>
                <w:b/>
              </w:rPr>
            </w:pPr>
            <w:r w:rsidRPr="00FF61BE">
              <w:rPr>
                <w:b/>
              </w:rPr>
              <w:t xml:space="preserve">12.2 Levels and modules </w:t>
            </w:r>
          </w:p>
          <w:p w:rsidR="00F343BB" w:rsidRPr="00FF61BE" w:rsidRDefault="00F343BB" w:rsidP="007B10A1">
            <w:pPr>
              <w:snapToGrid w:val="0"/>
              <w:rPr>
                <w:b/>
              </w:rPr>
            </w:pPr>
          </w:p>
          <w:p w:rsidR="00F343BB" w:rsidRPr="00FF61BE" w:rsidRDefault="00F343BB" w:rsidP="007B10A1">
            <w:pPr>
              <w:snapToGrid w:val="0"/>
              <w:rPr>
                <w:b/>
              </w:rPr>
            </w:pPr>
            <w:r w:rsidRPr="00FF61BE">
              <w:rPr>
                <w:b/>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F343BB" w:rsidTr="007B10A1">
        <w:trPr>
          <w:trHeight w:val="424"/>
          <w:jc w:val="center"/>
        </w:trPr>
        <w:tc>
          <w:tcPr>
            <w:tcW w:w="9270" w:type="dxa"/>
            <w:gridSpan w:val="4"/>
            <w:shd w:val="clear" w:color="auto" w:fill="auto"/>
          </w:tcPr>
          <w:p w:rsidR="00F343BB" w:rsidRDefault="00F343BB" w:rsidP="007B10A1">
            <w:pPr>
              <w:snapToGrid w:val="0"/>
            </w:pPr>
            <w:r>
              <w:t xml:space="preserve">Level 7 </w:t>
            </w:r>
          </w:p>
        </w:tc>
      </w:tr>
      <w:tr w:rsidR="00F343BB" w:rsidTr="007B10A1">
        <w:trPr>
          <w:jc w:val="center"/>
        </w:trPr>
        <w:tc>
          <w:tcPr>
            <w:tcW w:w="2960" w:type="dxa"/>
            <w:shd w:val="clear" w:color="auto" w:fill="auto"/>
          </w:tcPr>
          <w:p w:rsidR="00F343BB" w:rsidRPr="00FF61BE" w:rsidRDefault="00F343BB" w:rsidP="007B10A1">
            <w:pPr>
              <w:snapToGrid w:val="0"/>
              <w:rPr>
                <w:lang w:val="en-US"/>
              </w:rPr>
            </w:pPr>
            <w:r w:rsidRPr="00FF61BE">
              <w:rPr>
                <w:lang w:val="en-US"/>
              </w:rPr>
              <w:t>COMPULSORY</w:t>
            </w:r>
          </w:p>
        </w:tc>
        <w:tc>
          <w:tcPr>
            <w:tcW w:w="3155" w:type="dxa"/>
            <w:gridSpan w:val="2"/>
            <w:shd w:val="clear" w:color="auto" w:fill="auto"/>
          </w:tcPr>
          <w:p w:rsidR="00F343BB" w:rsidRPr="00FF61BE" w:rsidRDefault="00F343BB" w:rsidP="007B10A1">
            <w:pPr>
              <w:snapToGrid w:val="0"/>
              <w:rPr>
                <w:rStyle w:val="FootnoteCharacters"/>
                <w:lang w:val="en-US"/>
              </w:rPr>
            </w:pPr>
            <w:r w:rsidRPr="00FF61BE">
              <w:rPr>
                <w:lang w:val="en-US"/>
              </w:rPr>
              <w:t>OPTIONAL</w:t>
            </w:r>
            <w:r w:rsidRPr="00FF61BE">
              <w:rPr>
                <w:rStyle w:val="FootnoteCharacters"/>
                <w:lang w:val="en-US"/>
              </w:rPr>
              <w:t xml:space="preserve"> </w:t>
            </w:r>
          </w:p>
        </w:tc>
        <w:tc>
          <w:tcPr>
            <w:tcW w:w="3155" w:type="dxa"/>
            <w:shd w:val="clear" w:color="auto" w:fill="auto"/>
          </w:tcPr>
          <w:p w:rsidR="00F343BB" w:rsidRPr="00FF61BE" w:rsidRDefault="00F343BB" w:rsidP="007B10A1">
            <w:pPr>
              <w:pStyle w:val="BodyText3"/>
              <w:snapToGrid w:val="0"/>
              <w:spacing w:after="0"/>
              <w:rPr>
                <w:sz w:val="22"/>
              </w:rPr>
            </w:pPr>
            <w:r w:rsidRPr="00FF61BE">
              <w:rPr>
                <w:sz w:val="22"/>
              </w:rPr>
              <w:t>PROGRESSION REQUIREMENTS</w:t>
            </w:r>
          </w:p>
        </w:tc>
      </w:tr>
      <w:tr w:rsidR="00F343BB" w:rsidTr="007B10A1">
        <w:trPr>
          <w:jc w:val="center"/>
        </w:trPr>
        <w:tc>
          <w:tcPr>
            <w:tcW w:w="2960" w:type="dxa"/>
            <w:shd w:val="clear" w:color="auto" w:fill="auto"/>
          </w:tcPr>
          <w:p w:rsidR="00F343BB" w:rsidRDefault="00F343BB" w:rsidP="007B10A1">
            <w:pPr>
              <w:snapToGrid w:val="0"/>
              <w:rPr>
                <w:lang w:val="en-US"/>
              </w:rPr>
            </w:pPr>
            <w:r w:rsidRPr="00FF61BE">
              <w:rPr>
                <w:lang w:val="en-US"/>
              </w:rPr>
              <w:t>Students must take all of the following:</w:t>
            </w:r>
          </w:p>
          <w:p w:rsidR="00F343BB" w:rsidRDefault="00F343BB" w:rsidP="007B10A1">
            <w:pPr>
              <w:snapToGrid w:val="0"/>
              <w:rPr>
                <w:lang w:val="en-US"/>
              </w:rPr>
            </w:pPr>
          </w:p>
          <w:p w:rsidR="00F343BB" w:rsidRPr="00C20835" w:rsidRDefault="00F343BB" w:rsidP="007B10A1">
            <w:pPr>
              <w:snapToGrid w:val="0"/>
              <w:rPr>
                <w:b/>
                <w:lang w:val="en-US"/>
              </w:rPr>
            </w:pPr>
            <w:r>
              <w:rPr>
                <w:b/>
                <w:lang w:val="en-US"/>
              </w:rPr>
              <w:t>MA</w:t>
            </w:r>
          </w:p>
          <w:p w:rsidR="00F343BB" w:rsidRPr="00A56410" w:rsidRDefault="00F343BB" w:rsidP="007B10A1">
            <w:pPr>
              <w:rPr>
                <w:bCs/>
              </w:rPr>
            </w:pPr>
            <w:r w:rsidRPr="00A56410">
              <w:rPr>
                <w:bCs/>
              </w:rPr>
              <w:t xml:space="preserve">MGT 4455 </w:t>
            </w:r>
          </w:p>
          <w:p w:rsidR="00F343BB" w:rsidRDefault="00F343BB" w:rsidP="007B10A1">
            <w:pPr>
              <w:rPr>
                <w:bCs/>
              </w:rPr>
            </w:pPr>
            <w:r w:rsidRPr="00A56410">
              <w:rPr>
                <w:bCs/>
              </w:rPr>
              <w:t xml:space="preserve">MGT 4460 </w:t>
            </w:r>
          </w:p>
          <w:p w:rsidR="00F343BB" w:rsidRPr="00A56410" w:rsidRDefault="00F343BB" w:rsidP="007B10A1">
            <w:pPr>
              <w:rPr>
                <w:bCs/>
              </w:rPr>
            </w:pPr>
            <w:r w:rsidRPr="00A56410">
              <w:rPr>
                <w:bCs/>
              </w:rPr>
              <w:t>MGT 4465</w:t>
            </w:r>
          </w:p>
          <w:p w:rsidR="00F343BB" w:rsidRPr="00A56410" w:rsidRDefault="00F343BB" w:rsidP="007B10A1">
            <w:pPr>
              <w:rPr>
                <w:bCs/>
              </w:rPr>
            </w:pPr>
            <w:r w:rsidRPr="00A56410">
              <w:rPr>
                <w:bCs/>
              </w:rPr>
              <w:t>MKT 4013</w:t>
            </w:r>
          </w:p>
          <w:p w:rsidR="00F343BB" w:rsidRDefault="00F343BB" w:rsidP="007B10A1">
            <w:pPr>
              <w:snapToGrid w:val="0"/>
            </w:pPr>
            <w:r w:rsidRPr="00A56410">
              <w:t xml:space="preserve">MGT 4470 </w:t>
            </w:r>
          </w:p>
          <w:p w:rsidR="00F343BB" w:rsidRDefault="00F343BB" w:rsidP="007B10A1">
            <w:pPr>
              <w:snapToGrid w:val="0"/>
            </w:pPr>
          </w:p>
          <w:p w:rsidR="00F343BB" w:rsidRDefault="00F343BB" w:rsidP="007B10A1">
            <w:pPr>
              <w:snapToGrid w:val="0"/>
              <w:rPr>
                <w:b/>
              </w:rPr>
            </w:pPr>
            <w:r>
              <w:rPr>
                <w:b/>
              </w:rPr>
              <w:t>PG Dip</w:t>
            </w:r>
          </w:p>
          <w:p w:rsidR="00F343BB" w:rsidRPr="00A56410" w:rsidRDefault="00F343BB" w:rsidP="007B10A1">
            <w:pPr>
              <w:rPr>
                <w:bCs/>
              </w:rPr>
            </w:pPr>
            <w:r w:rsidRPr="00A56410">
              <w:rPr>
                <w:bCs/>
              </w:rPr>
              <w:t xml:space="preserve">MGT 4455 </w:t>
            </w:r>
          </w:p>
          <w:p w:rsidR="00F343BB" w:rsidRDefault="00F343BB" w:rsidP="007B10A1">
            <w:pPr>
              <w:rPr>
                <w:bCs/>
              </w:rPr>
            </w:pPr>
            <w:r w:rsidRPr="00A56410">
              <w:rPr>
                <w:bCs/>
              </w:rPr>
              <w:t xml:space="preserve">MGT 4460 </w:t>
            </w:r>
          </w:p>
          <w:p w:rsidR="00F343BB" w:rsidRPr="00A56410" w:rsidRDefault="00F343BB" w:rsidP="007B10A1">
            <w:pPr>
              <w:rPr>
                <w:bCs/>
              </w:rPr>
            </w:pPr>
            <w:r w:rsidRPr="00A56410">
              <w:rPr>
                <w:bCs/>
              </w:rPr>
              <w:t>MGT 4465</w:t>
            </w:r>
          </w:p>
          <w:p w:rsidR="00F343BB" w:rsidRPr="00A56410" w:rsidRDefault="00F343BB" w:rsidP="007B10A1">
            <w:pPr>
              <w:rPr>
                <w:bCs/>
              </w:rPr>
            </w:pPr>
            <w:r w:rsidRPr="00A56410">
              <w:rPr>
                <w:bCs/>
              </w:rPr>
              <w:t>MKT 4013</w:t>
            </w:r>
          </w:p>
          <w:p w:rsidR="00F343BB" w:rsidRDefault="00F343BB" w:rsidP="007B10A1">
            <w:pPr>
              <w:snapToGrid w:val="0"/>
              <w:rPr>
                <w:b/>
                <w:lang w:val="en-US"/>
              </w:rPr>
            </w:pPr>
          </w:p>
          <w:p w:rsidR="00F343BB" w:rsidRDefault="00F343BB" w:rsidP="007B10A1">
            <w:pPr>
              <w:snapToGrid w:val="0"/>
              <w:rPr>
                <w:b/>
                <w:lang w:val="en-US"/>
              </w:rPr>
            </w:pPr>
            <w:r>
              <w:rPr>
                <w:b/>
                <w:lang w:val="en-US"/>
              </w:rPr>
              <w:t>PG Cert</w:t>
            </w:r>
          </w:p>
          <w:p w:rsidR="00F343BB" w:rsidRPr="00C20835" w:rsidRDefault="00F343BB" w:rsidP="007B10A1">
            <w:pPr>
              <w:snapToGrid w:val="0"/>
              <w:rPr>
                <w:lang w:val="en-US"/>
              </w:rPr>
            </w:pPr>
            <w:r>
              <w:rPr>
                <w:lang w:val="en-US"/>
              </w:rPr>
              <w:t>MGT4455</w:t>
            </w:r>
          </w:p>
          <w:p w:rsidR="00F343BB" w:rsidRPr="00FF61BE" w:rsidRDefault="00F343BB" w:rsidP="007B10A1">
            <w:pPr>
              <w:snapToGrid w:val="0"/>
              <w:rPr>
                <w:lang w:val="en-US"/>
              </w:rPr>
            </w:pPr>
          </w:p>
        </w:tc>
        <w:tc>
          <w:tcPr>
            <w:tcW w:w="3155" w:type="dxa"/>
            <w:gridSpan w:val="2"/>
            <w:shd w:val="clear" w:color="auto" w:fill="auto"/>
          </w:tcPr>
          <w:p w:rsidR="00F343BB" w:rsidRDefault="00F343BB" w:rsidP="007B10A1">
            <w:pPr>
              <w:rPr>
                <w:lang w:val="en-US"/>
              </w:rPr>
            </w:pPr>
            <w:r>
              <w:rPr>
                <w:lang w:val="en-US"/>
              </w:rPr>
              <w:t>Student must choose ONE from the following:</w:t>
            </w:r>
          </w:p>
          <w:p w:rsidR="00F343BB" w:rsidRDefault="00F343BB" w:rsidP="007B10A1">
            <w:pPr>
              <w:rPr>
                <w:lang w:val="en-US"/>
              </w:rPr>
            </w:pPr>
          </w:p>
          <w:p w:rsidR="00F343BB" w:rsidRDefault="00F343BB" w:rsidP="007B10A1">
            <w:pPr>
              <w:rPr>
                <w:lang w:val="en-US"/>
              </w:rPr>
            </w:pPr>
            <w:r>
              <w:rPr>
                <w:lang w:val="en-US"/>
              </w:rPr>
              <w:t>N/A</w:t>
            </w:r>
          </w:p>
          <w:p w:rsidR="00F343BB" w:rsidRDefault="00F343BB" w:rsidP="007B10A1">
            <w:pPr>
              <w:rPr>
                <w:lang w:val="en-US"/>
              </w:rPr>
            </w:pPr>
          </w:p>
          <w:p w:rsidR="00F343BB" w:rsidRDefault="00F343BB" w:rsidP="007B10A1">
            <w:pPr>
              <w:rPr>
                <w:lang w:val="en-US"/>
              </w:rPr>
            </w:pPr>
          </w:p>
          <w:p w:rsidR="00F343BB" w:rsidRDefault="00F343BB" w:rsidP="007B10A1">
            <w:pPr>
              <w:rPr>
                <w:lang w:val="en-US"/>
              </w:rPr>
            </w:pPr>
          </w:p>
          <w:p w:rsidR="00F343BB" w:rsidRDefault="00F343BB" w:rsidP="007B10A1">
            <w:pPr>
              <w:rPr>
                <w:lang w:val="en-US"/>
              </w:rPr>
            </w:pPr>
          </w:p>
          <w:p w:rsidR="00F343BB" w:rsidRDefault="00F343BB" w:rsidP="007B10A1">
            <w:pPr>
              <w:rPr>
                <w:lang w:val="en-US"/>
              </w:rPr>
            </w:pPr>
          </w:p>
          <w:p w:rsidR="00F343BB" w:rsidRDefault="00F343BB" w:rsidP="007B10A1">
            <w:pPr>
              <w:rPr>
                <w:lang w:val="en-US"/>
              </w:rPr>
            </w:pPr>
          </w:p>
          <w:p w:rsidR="00F343BB" w:rsidRDefault="00F343BB" w:rsidP="007B10A1">
            <w:pPr>
              <w:rPr>
                <w:lang w:val="en-US"/>
              </w:rPr>
            </w:pPr>
            <w:r>
              <w:rPr>
                <w:lang w:val="en-US"/>
              </w:rPr>
              <w:t>N/A</w:t>
            </w:r>
          </w:p>
          <w:p w:rsidR="00F343BB" w:rsidRDefault="00F343BB" w:rsidP="007B10A1">
            <w:pPr>
              <w:rPr>
                <w:lang w:val="en-US"/>
              </w:rPr>
            </w:pPr>
          </w:p>
          <w:p w:rsidR="00F343BB" w:rsidRDefault="00F343BB" w:rsidP="007B10A1">
            <w:pPr>
              <w:rPr>
                <w:lang w:val="en-US"/>
              </w:rPr>
            </w:pPr>
          </w:p>
          <w:p w:rsidR="00F343BB" w:rsidRDefault="00F343BB" w:rsidP="007B10A1">
            <w:pPr>
              <w:rPr>
                <w:lang w:val="en-US"/>
              </w:rPr>
            </w:pPr>
          </w:p>
          <w:p w:rsidR="00F343BB" w:rsidRDefault="00F343BB" w:rsidP="007B10A1">
            <w:pPr>
              <w:rPr>
                <w:lang w:val="en-US"/>
              </w:rPr>
            </w:pPr>
          </w:p>
          <w:p w:rsidR="00F343BB" w:rsidRDefault="00F343BB" w:rsidP="007B10A1">
            <w:pPr>
              <w:rPr>
                <w:lang w:val="en-US"/>
              </w:rPr>
            </w:pPr>
          </w:p>
          <w:p w:rsidR="00F343BB" w:rsidRDefault="00F343BB" w:rsidP="007B10A1">
            <w:pPr>
              <w:rPr>
                <w:bCs/>
              </w:rPr>
            </w:pPr>
            <w:r w:rsidRPr="00A56410">
              <w:rPr>
                <w:bCs/>
              </w:rPr>
              <w:t xml:space="preserve">MGT 4460 </w:t>
            </w:r>
          </w:p>
          <w:p w:rsidR="00F343BB" w:rsidRPr="00A56410" w:rsidRDefault="00F343BB" w:rsidP="007B10A1">
            <w:pPr>
              <w:rPr>
                <w:bCs/>
              </w:rPr>
            </w:pPr>
            <w:r w:rsidRPr="00A56410">
              <w:rPr>
                <w:bCs/>
              </w:rPr>
              <w:t>MGT 4465</w:t>
            </w:r>
          </w:p>
          <w:p w:rsidR="00F343BB" w:rsidRDefault="00F343BB" w:rsidP="007B10A1">
            <w:pPr>
              <w:rPr>
                <w:bCs/>
              </w:rPr>
            </w:pPr>
            <w:r w:rsidRPr="00A56410">
              <w:rPr>
                <w:bCs/>
              </w:rPr>
              <w:t>MKT 4013</w:t>
            </w:r>
          </w:p>
          <w:p w:rsidR="00F343BB" w:rsidRPr="00FF61BE" w:rsidRDefault="00F343BB" w:rsidP="007B10A1">
            <w:pPr>
              <w:rPr>
                <w:lang w:val="en-US"/>
              </w:rPr>
            </w:pPr>
          </w:p>
        </w:tc>
        <w:tc>
          <w:tcPr>
            <w:tcW w:w="3155" w:type="dxa"/>
            <w:shd w:val="clear" w:color="auto" w:fill="auto"/>
          </w:tcPr>
          <w:p w:rsidR="00F343BB" w:rsidRDefault="00F343BB" w:rsidP="007B10A1"/>
          <w:p w:rsidR="00F343BB" w:rsidRDefault="00F343BB" w:rsidP="007B10A1"/>
          <w:p w:rsidR="00F343BB" w:rsidRDefault="00F343BB" w:rsidP="007B10A1"/>
          <w:p w:rsidR="00F343BB" w:rsidRPr="00FF61BE" w:rsidRDefault="00F343BB" w:rsidP="007B10A1">
            <w:pPr>
              <w:rPr>
                <w:b/>
              </w:rPr>
            </w:pPr>
            <w:r w:rsidRPr="00A56410">
              <w:t>Students are normally required to complete taught modules before progressing onto the applied project</w:t>
            </w:r>
          </w:p>
        </w:tc>
      </w:tr>
      <w:tr w:rsidR="00F343BB" w:rsidTr="007B10A1">
        <w:trPr>
          <w:jc w:val="center"/>
        </w:trPr>
        <w:tc>
          <w:tcPr>
            <w:tcW w:w="9270" w:type="dxa"/>
            <w:gridSpan w:val="4"/>
            <w:shd w:val="clear" w:color="auto" w:fill="D9D9D9"/>
          </w:tcPr>
          <w:p w:rsidR="00F343BB" w:rsidRPr="00682128" w:rsidRDefault="00F343BB" w:rsidP="007B10A1">
            <w:pPr>
              <w:pStyle w:val="BodyText"/>
              <w:snapToGrid w:val="0"/>
              <w:jc w:val="both"/>
              <w:rPr>
                <w:b/>
                <w:szCs w:val="18"/>
              </w:rPr>
            </w:pPr>
            <w:r w:rsidRPr="00682128">
              <w:rPr>
                <w:b/>
                <w:szCs w:val="18"/>
              </w:rPr>
              <w:t>12.3 Non-</w:t>
            </w:r>
            <w:proofErr w:type="spellStart"/>
            <w:r w:rsidRPr="00682128">
              <w:rPr>
                <w:b/>
                <w:szCs w:val="18"/>
              </w:rPr>
              <w:t>compensatable</w:t>
            </w:r>
            <w:proofErr w:type="spellEnd"/>
            <w:r w:rsidRPr="00682128">
              <w:rPr>
                <w:b/>
                <w:szCs w:val="18"/>
              </w:rPr>
              <w:t xml:space="preserve"> modules (note statement in 12.2 regarding FHEQ levels)</w:t>
            </w:r>
          </w:p>
        </w:tc>
      </w:tr>
      <w:tr w:rsidR="00F343BB" w:rsidTr="007B10A1">
        <w:trPr>
          <w:jc w:val="center"/>
        </w:trPr>
        <w:tc>
          <w:tcPr>
            <w:tcW w:w="2960" w:type="dxa"/>
            <w:shd w:val="clear" w:color="auto" w:fill="D9D9D9"/>
          </w:tcPr>
          <w:p w:rsidR="00F343BB" w:rsidRPr="00682128" w:rsidRDefault="00F343BB" w:rsidP="007B10A1">
            <w:pPr>
              <w:pStyle w:val="BodyText"/>
              <w:snapToGrid w:val="0"/>
              <w:jc w:val="both"/>
              <w:rPr>
                <w:b/>
                <w:bCs/>
                <w:szCs w:val="18"/>
              </w:rPr>
            </w:pPr>
            <w:r w:rsidRPr="00682128">
              <w:rPr>
                <w:b/>
                <w:bCs/>
                <w:szCs w:val="18"/>
              </w:rPr>
              <w:t>Module level</w:t>
            </w:r>
          </w:p>
        </w:tc>
        <w:tc>
          <w:tcPr>
            <w:tcW w:w="6310" w:type="dxa"/>
            <w:gridSpan w:val="3"/>
            <w:shd w:val="clear" w:color="auto" w:fill="D9D9D9"/>
          </w:tcPr>
          <w:p w:rsidR="00F343BB" w:rsidRPr="00682128" w:rsidRDefault="00F343BB" w:rsidP="007B10A1">
            <w:pPr>
              <w:pStyle w:val="BodyText"/>
              <w:snapToGrid w:val="0"/>
              <w:jc w:val="both"/>
              <w:rPr>
                <w:b/>
                <w:bCs/>
                <w:szCs w:val="18"/>
              </w:rPr>
            </w:pPr>
            <w:r w:rsidRPr="00682128">
              <w:rPr>
                <w:b/>
                <w:bCs/>
                <w:szCs w:val="18"/>
              </w:rPr>
              <w:t>Module code</w:t>
            </w:r>
          </w:p>
        </w:tc>
      </w:tr>
      <w:tr w:rsidR="00F343BB" w:rsidTr="007B10A1">
        <w:trPr>
          <w:jc w:val="center"/>
        </w:trPr>
        <w:tc>
          <w:tcPr>
            <w:tcW w:w="2960" w:type="dxa"/>
            <w:shd w:val="clear" w:color="auto" w:fill="auto"/>
          </w:tcPr>
          <w:p w:rsidR="00F343BB" w:rsidRPr="00682128" w:rsidRDefault="00F343BB" w:rsidP="007B10A1">
            <w:r>
              <w:t>N/A</w:t>
            </w:r>
          </w:p>
        </w:tc>
        <w:tc>
          <w:tcPr>
            <w:tcW w:w="6310" w:type="dxa"/>
            <w:gridSpan w:val="3"/>
            <w:shd w:val="clear" w:color="auto" w:fill="auto"/>
          </w:tcPr>
          <w:p w:rsidR="00F343BB" w:rsidRPr="00FF61BE" w:rsidRDefault="00F343BB" w:rsidP="007B10A1">
            <w:pPr>
              <w:rPr>
                <w:b/>
              </w:rPr>
            </w:pPr>
          </w:p>
        </w:tc>
      </w:tr>
      <w:tr w:rsidR="00F343BB" w:rsidTr="007B10A1">
        <w:trPr>
          <w:jc w:val="center"/>
        </w:trPr>
        <w:tc>
          <w:tcPr>
            <w:tcW w:w="9270" w:type="dxa"/>
            <w:gridSpan w:val="4"/>
            <w:tcBorders>
              <w:left w:val="nil"/>
              <w:bottom w:val="single" w:sz="4" w:space="0" w:color="000000"/>
              <w:right w:val="nil"/>
            </w:tcBorders>
            <w:shd w:val="clear" w:color="auto" w:fill="auto"/>
          </w:tcPr>
          <w:p w:rsidR="00F343BB" w:rsidRPr="00FF61BE" w:rsidRDefault="00F343BB" w:rsidP="007B10A1">
            <w:pPr>
              <w:rPr>
                <w:b/>
              </w:rPr>
            </w:pPr>
          </w:p>
        </w:tc>
      </w:tr>
      <w:tr w:rsidR="00F343BB" w:rsidTr="007B10A1">
        <w:trPr>
          <w:jc w:val="center"/>
        </w:trPr>
        <w:tc>
          <w:tcPr>
            <w:tcW w:w="9270" w:type="dxa"/>
            <w:gridSpan w:val="4"/>
            <w:tcBorders>
              <w:bottom w:val="nil"/>
            </w:tcBorders>
            <w:shd w:val="clear" w:color="auto" w:fill="D9D9D9"/>
          </w:tcPr>
          <w:p w:rsidR="00F343BB" w:rsidRPr="00FF61BE" w:rsidRDefault="00F343BB" w:rsidP="007B10A1">
            <w:pPr>
              <w:rPr>
                <w:b/>
              </w:rPr>
            </w:pPr>
            <w:r w:rsidRPr="00FF61BE">
              <w:rPr>
                <w:b/>
              </w:rPr>
              <w:t>13. A curriculum map relating learning outcomes to modules</w:t>
            </w:r>
            <w:r w:rsidRPr="00FF61BE">
              <w:rPr>
                <w:b/>
              </w:rPr>
              <w:tab/>
            </w:r>
          </w:p>
        </w:tc>
      </w:tr>
      <w:tr w:rsidR="00F343BB" w:rsidTr="007B10A1">
        <w:trPr>
          <w:jc w:val="center"/>
        </w:trPr>
        <w:tc>
          <w:tcPr>
            <w:tcW w:w="9270" w:type="dxa"/>
            <w:gridSpan w:val="4"/>
            <w:tcBorders>
              <w:top w:val="nil"/>
              <w:bottom w:val="single" w:sz="4" w:space="0" w:color="000000"/>
            </w:tcBorders>
            <w:shd w:val="clear" w:color="auto" w:fill="auto"/>
          </w:tcPr>
          <w:p w:rsidR="00F343BB" w:rsidRDefault="00F343BB" w:rsidP="007B10A1">
            <w:pPr>
              <w:snapToGrid w:val="0"/>
            </w:pPr>
            <w:r>
              <w:t>See Curriculum Map on page 45.</w:t>
            </w:r>
          </w:p>
        </w:tc>
      </w:tr>
      <w:tr w:rsidR="00F343BB" w:rsidTr="007B10A1">
        <w:trPr>
          <w:jc w:val="center"/>
        </w:trPr>
        <w:tc>
          <w:tcPr>
            <w:tcW w:w="9270" w:type="dxa"/>
            <w:gridSpan w:val="4"/>
            <w:tcBorders>
              <w:left w:val="nil"/>
              <w:bottom w:val="single" w:sz="4" w:space="0" w:color="000000"/>
              <w:right w:val="nil"/>
            </w:tcBorders>
            <w:shd w:val="clear" w:color="auto" w:fill="auto"/>
          </w:tcPr>
          <w:p w:rsidR="00F343BB" w:rsidRPr="00FF61BE" w:rsidRDefault="00F343BB" w:rsidP="007B10A1">
            <w:pPr>
              <w:rPr>
                <w:b/>
              </w:rPr>
            </w:pPr>
          </w:p>
        </w:tc>
      </w:tr>
      <w:tr w:rsidR="00F343BB" w:rsidTr="007B10A1">
        <w:trPr>
          <w:jc w:val="center"/>
        </w:trPr>
        <w:tc>
          <w:tcPr>
            <w:tcW w:w="9270" w:type="dxa"/>
            <w:gridSpan w:val="4"/>
            <w:tcBorders>
              <w:bottom w:val="nil"/>
            </w:tcBorders>
            <w:shd w:val="clear" w:color="auto" w:fill="D9D9D9"/>
          </w:tcPr>
          <w:p w:rsidR="00F343BB" w:rsidRPr="00FF61BE" w:rsidRDefault="00F343BB" w:rsidP="007B10A1">
            <w:pPr>
              <w:rPr>
                <w:b/>
              </w:rPr>
            </w:pPr>
            <w:r w:rsidRPr="00FF61BE">
              <w:rPr>
                <w:b/>
              </w:rPr>
              <w:t>14. Information about assessment regulations</w:t>
            </w:r>
          </w:p>
        </w:tc>
      </w:tr>
      <w:tr w:rsidR="00F343BB" w:rsidTr="007B10A1">
        <w:trPr>
          <w:jc w:val="center"/>
        </w:trPr>
        <w:tc>
          <w:tcPr>
            <w:tcW w:w="9270" w:type="dxa"/>
            <w:gridSpan w:val="4"/>
            <w:tcBorders>
              <w:top w:val="nil"/>
              <w:bottom w:val="single" w:sz="4" w:space="0" w:color="000000"/>
            </w:tcBorders>
            <w:shd w:val="clear" w:color="auto" w:fill="auto"/>
          </w:tcPr>
          <w:p w:rsidR="00F343BB" w:rsidRPr="00FF61BE" w:rsidRDefault="00F343BB" w:rsidP="007B10A1">
            <w:pPr>
              <w:rPr>
                <w:b/>
              </w:rPr>
            </w:pPr>
            <w:r>
              <w:t>University and School Assessment Regulations apply to this programme.</w:t>
            </w:r>
          </w:p>
        </w:tc>
      </w:tr>
      <w:tr w:rsidR="00F343BB" w:rsidTr="007B10A1">
        <w:trPr>
          <w:jc w:val="center"/>
        </w:trPr>
        <w:tc>
          <w:tcPr>
            <w:tcW w:w="9270" w:type="dxa"/>
            <w:gridSpan w:val="4"/>
            <w:tcBorders>
              <w:top w:val="single" w:sz="4" w:space="0" w:color="000000"/>
              <w:left w:val="nil"/>
              <w:bottom w:val="single" w:sz="4" w:space="0" w:color="000000"/>
              <w:right w:val="nil"/>
            </w:tcBorders>
            <w:shd w:val="clear" w:color="auto" w:fill="auto"/>
          </w:tcPr>
          <w:p w:rsidR="00F343BB" w:rsidRDefault="00F343BB" w:rsidP="007B10A1"/>
        </w:tc>
      </w:tr>
      <w:tr w:rsidR="00F343BB" w:rsidTr="007B10A1">
        <w:trPr>
          <w:jc w:val="center"/>
        </w:trPr>
        <w:tc>
          <w:tcPr>
            <w:tcW w:w="9270" w:type="dxa"/>
            <w:gridSpan w:val="4"/>
            <w:tcBorders>
              <w:bottom w:val="nil"/>
            </w:tcBorders>
            <w:shd w:val="clear" w:color="auto" w:fill="D9D9D9"/>
          </w:tcPr>
          <w:p w:rsidR="00F343BB" w:rsidRPr="00FF61BE" w:rsidRDefault="00F343BB" w:rsidP="007B10A1">
            <w:pPr>
              <w:pStyle w:val="FootnoteText"/>
              <w:snapToGrid w:val="0"/>
              <w:rPr>
                <w:b/>
                <w:sz w:val="22"/>
              </w:rPr>
            </w:pPr>
            <w:r w:rsidRPr="00FF61BE">
              <w:rPr>
                <w:b/>
                <w:sz w:val="22"/>
              </w:rPr>
              <w:t>15. Placement opportunities, requirements and support (if applicable)</w:t>
            </w:r>
          </w:p>
        </w:tc>
      </w:tr>
      <w:tr w:rsidR="00F343BB" w:rsidTr="007B10A1">
        <w:trPr>
          <w:jc w:val="center"/>
        </w:trPr>
        <w:tc>
          <w:tcPr>
            <w:tcW w:w="9270" w:type="dxa"/>
            <w:gridSpan w:val="4"/>
            <w:tcBorders>
              <w:bottom w:val="single" w:sz="4" w:space="0" w:color="000000"/>
            </w:tcBorders>
            <w:shd w:val="clear" w:color="auto" w:fill="auto"/>
          </w:tcPr>
          <w:p w:rsidR="00F343BB" w:rsidRPr="00FF61BE" w:rsidRDefault="00F343BB" w:rsidP="007B10A1">
            <w:pPr>
              <w:pStyle w:val="FootnoteText"/>
              <w:snapToGrid w:val="0"/>
              <w:rPr>
                <w:b/>
                <w:sz w:val="22"/>
              </w:rPr>
            </w:pPr>
            <w:r>
              <w:t>Not applicable to this programme</w:t>
            </w:r>
          </w:p>
        </w:tc>
      </w:tr>
      <w:tr w:rsidR="00F343BB" w:rsidTr="007B10A1">
        <w:trPr>
          <w:jc w:val="center"/>
        </w:trPr>
        <w:tc>
          <w:tcPr>
            <w:tcW w:w="9270" w:type="dxa"/>
            <w:gridSpan w:val="4"/>
            <w:tcBorders>
              <w:left w:val="single" w:sz="4" w:space="0" w:color="FFFFFF"/>
              <w:bottom w:val="single" w:sz="4" w:space="0" w:color="000000"/>
              <w:right w:val="nil"/>
            </w:tcBorders>
            <w:shd w:val="clear" w:color="auto" w:fill="auto"/>
          </w:tcPr>
          <w:p w:rsidR="00F343BB" w:rsidRPr="00FF61BE" w:rsidRDefault="00F343BB" w:rsidP="007B10A1">
            <w:pPr>
              <w:pStyle w:val="FootnoteText"/>
              <w:snapToGrid w:val="0"/>
              <w:rPr>
                <w:b/>
                <w:sz w:val="22"/>
              </w:rPr>
            </w:pPr>
          </w:p>
        </w:tc>
      </w:tr>
      <w:tr w:rsidR="00F343BB" w:rsidTr="007B10A1">
        <w:trPr>
          <w:jc w:val="center"/>
        </w:trPr>
        <w:tc>
          <w:tcPr>
            <w:tcW w:w="9270" w:type="dxa"/>
            <w:gridSpan w:val="4"/>
            <w:tcBorders>
              <w:bottom w:val="nil"/>
            </w:tcBorders>
            <w:shd w:val="clear" w:color="auto" w:fill="D9D9D9"/>
          </w:tcPr>
          <w:p w:rsidR="00F343BB" w:rsidRPr="00FF61BE" w:rsidRDefault="00F343BB" w:rsidP="007B10A1">
            <w:pPr>
              <w:pStyle w:val="FootnoteText"/>
              <w:snapToGrid w:val="0"/>
              <w:rPr>
                <w:b/>
                <w:sz w:val="22"/>
              </w:rPr>
            </w:pPr>
            <w:r w:rsidRPr="00FF61BE">
              <w:rPr>
                <w:b/>
                <w:sz w:val="22"/>
              </w:rPr>
              <w:t>16. Future careers (if applicable)</w:t>
            </w:r>
          </w:p>
        </w:tc>
      </w:tr>
      <w:tr w:rsidR="00F343BB" w:rsidTr="007B10A1">
        <w:trPr>
          <w:jc w:val="center"/>
        </w:trPr>
        <w:tc>
          <w:tcPr>
            <w:tcW w:w="9270" w:type="dxa"/>
            <w:gridSpan w:val="4"/>
            <w:tcBorders>
              <w:top w:val="nil"/>
              <w:bottom w:val="single" w:sz="4" w:space="0" w:color="000000"/>
            </w:tcBorders>
            <w:shd w:val="clear" w:color="auto" w:fill="auto"/>
          </w:tcPr>
          <w:p w:rsidR="00F343BB" w:rsidRDefault="00F343BB" w:rsidP="007B10A1">
            <w:r>
              <w:t>The programme described here develops students’ advanced-level skills, knowledge and capabilities in business enterprise and entrepreneurship. This prepares them, when coupled with the subject areas of their first degrees or earlier professional experience and their interests and aptitudes, for carrying out entrepreneurial roles independently, or in a variety of public and private sector organisations where an understanding of entrepreneurship skills will be required such as leadership or management positions.</w:t>
            </w:r>
          </w:p>
          <w:p w:rsidR="00F343BB" w:rsidRPr="00391C8F" w:rsidRDefault="00F343BB" w:rsidP="007B10A1">
            <w:pPr>
              <w:pStyle w:val="FootnoteText"/>
              <w:snapToGrid w:val="0"/>
              <w:rPr>
                <w:b/>
                <w:sz w:val="22"/>
                <w:szCs w:val="22"/>
              </w:rPr>
            </w:pPr>
            <w:r w:rsidRPr="00391C8F">
              <w:rPr>
                <w:sz w:val="22"/>
                <w:szCs w:val="22"/>
              </w:rPr>
              <w:t xml:space="preserve">As a result of the enhancement of students’ independent creativity, </w:t>
            </w:r>
            <w:proofErr w:type="gramStart"/>
            <w:r w:rsidRPr="00391C8F">
              <w:rPr>
                <w:sz w:val="22"/>
                <w:szCs w:val="22"/>
              </w:rPr>
              <w:t>problem-solving</w:t>
            </w:r>
            <w:proofErr w:type="gramEnd"/>
            <w:r w:rsidRPr="00391C8F">
              <w:rPr>
                <w:sz w:val="22"/>
                <w:szCs w:val="22"/>
              </w:rPr>
              <w:t>, leadership and decision-making abilities during the programme, graduates are also better equipped for entrepreneurial activities.</w:t>
            </w:r>
          </w:p>
        </w:tc>
      </w:tr>
      <w:tr w:rsidR="00F343BB" w:rsidTr="007B10A1">
        <w:trPr>
          <w:jc w:val="center"/>
        </w:trPr>
        <w:tc>
          <w:tcPr>
            <w:tcW w:w="9270" w:type="dxa"/>
            <w:gridSpan w:val="4"/>
            <w:tcBorders>
              <w:left w:val="nil"/>
              <w:bottom w:val="single" w:sz="4" w:space="0" w:color="000000"/>
              <w:right w:val="nil"/>
            </w:tcBorders>
            <w:shd w:val="clear" w:color="auto" w:fill="auto"/>
          </w:tcPr>
          <w:p w:rsidR="00F343BB" w:rsidRPr="00FF61BE" w:rsidRDefault="00F343BB" w:rsidP="007B10A1">
            <w:pPr>
              <w:pStyle w:val="FootnoteText"/>
              <w:snapToGrid w:val="0"/>
              <w:rPr>
                <w:b/>
                <w:sz w:val="22"/>
              </w:rPr>
            </w:pPr>
          </w:p>
        </w:tc>
      </w:tr>
      <w:tr w:rsidR="00F343BB" w:rsidTr="007B10A1">
        <w:trPr>
          <w:jc w:val="center"/>
        </w:trPr>
        <w:tc>
          <w:tcPr>
            <w:tcW w:w="9270" w:type="dxa"/>
            <w:gridSpan w:val="4"/>
            <w:tcBorders>
              <w:bottom w:val="nil"/>
            </w:tcBorders>
            <w:shd w:val="clear" w:color="auto" w:fill="D9D9D9"/>
          </w:tcPr>
          <w:p w:rsidR="00F343BB" w:rsidRPr="00FF61BE" w:rsidRDefault="00F343BB" w:rsidP="007B10A1">
            <w:pPr>
              <w:pStyle w:val="FootnoteText"/>
              <w:snapToGrid w:val="0"/>
              <w:rPr>
                <w:b/>
                <w:sz w:val="22"/>
              </w:rPr>
            </w:pPr>
            <w:r w:rsidRPr="00FF61BE">
              <w:rPr>
                <w:b/>
                <w:sz w:val="22"/>
              </w:rPr>
              <w:t>17. Particular support for learning (if applicable)</w:t>
            </w:r>
          </w:p>
        </w:tc>
      </w:tr>
      <w:tr w:rsidR="00F343BB" w:rsidTr="007B10A1">
        <w:trPr>
          <w:jc w:val="center"/>
        </w:trPr>
        <w:tc>
          <w:tcPr>
            <w:tcW w:w="9270" w:type="dxa"/>
            <w:gridSpan w:val="4"/>
            <w:tcBorders>
              <w:top w:val="nil"/>
              <w:bottom w:val="single" w:sz="4" w:space="0" w:color="000000"/>
            </w:tcBorders>
            <w:shd w:val="clear" w:color="auto" w:fill="auto"/>
          </w:tcPr>
          <w:p w:rsidR="00F343BB" w:rsidRDefault="00F343BB" w:rsidP="00F343BB">
            <w:pPr>
              <w:numPr>
                <w:ilvl w:val="0"/>
                <w:numId w:val="2"/>
              </w:numPr>
              <w:suppressAutoHyphens w:val="0"/>
            </w:pPr>
            <w:r>
              <w:t xml:space="preserve">Induction programme </w:t>
            </w:r>
          </w:p>
          <w:p w:rsidR="00F343BB" w:rsidRDefault="00F343BB" w:rsidP="00F343BB">
            <w:pPr>
              <w:numPr>
                <w:ilvl w:val="0"/>
                <w:numId w:val="2"/>
              </w:numPr>
              <w:suppressAutoHyphens w:val="0"/>
            </w:pPr>
            <w:r>
              <w:t>Full Programme and Module Handbooks (also available online)</w:t>
            </w:r>
          </w:p>
          <w:p w:rsidR="00F343BB" w:rsidRDefault="00F343BB" w:rsidP="00F343BB">
            <w:pPr>
              <w:numPr>
                <w:ilvl w:val="0"/>
                <w:numId w:val="2"/>
              </w:numPr>
              <w:suppressAutoHyphens w:val="0"/>
            </w:pPr>
            <w:r>
              <w:t>Module information and learning/support material on online learning resource (Oasis)</w:t>
            </w:r>
          </w:p>
          <w:p w:rsidR="00F343BB" w:rsidRDefault="00F343BB" w:rsidP="00F343BB">
            <w:pPr>
              <w:numPr>
                <w:ilvl w:val="0"/>
                <w:numId w:val="2"/>
              </w:numPr>
              <w:suppressAutoHyphens w:val="0"/>
            </w:pPr>
            <w:r>
              <w:t>Library and learning centre resources, with extensive online facilities</w:t>
            </w:r>
          </w:p>
          <w:p w:rsidR="00F343BB" w:rsidRDefault="00F343BB" w:rsidP="00F343BB">
            <w:pPr>
              <w:numPr>
                <w:ilvl w:val="0"/>
                <w:numId w:val="2"/>
              </w:numPr>
              <w:suppressAutoHyphens w:val="0"/>
            </w:pPr>
            <w:r>
              <w:t>Postgraduate room in Sheppard library</w:t>
            </w:r>
          </w:p>
          <w:p w:rsidR="00F343BB" w:rsidRDefault="00F343BB" w:rsidP="00F343BB">
            <w:pPr>
              <w:numPr>
                <w:ilvl w:val="0"/>
                <w:numId w:val="2"/>
              </w:numPr>
              <w:suppressAutoHyphens w:val="0"/>
            </w:pPr>
            <w:r>
              <w:t>In-module and on-programme guest lectures</w:t>
            </w:r>
          </w:p>
          <w:p w:rsidR="00F343BB" w:rsidRDefault="00F343BB" w:rsidP="00F343BB">
            <w:pPr>
              <w:numPr>
                <w:ilvl w:val="0"/>
                <w:numId w:val="2"/>
              </w:numPr>
              <w:suppressAutoHyphens w:val="0"/>
            </w:pPr>
            <w:r>
              <w:t>English Language and Learning Support provided in Sheppard Library</w:t>
            </w:r>
          </w:p>
          <w:p w:rsidR="00F343BB" w:rsidRPr="00391C8F" w:rsidRDefault="00F343BB" w:rsidP="00F343BB">
            <w:pPr>
              <w:pStyle w:val="FootnoteText"/>
              <w:numPr>
                <w:ilvl w:val="0"/>
                <w:numId w:val="2"/>
              </w:numPr>
              <w:snapToGrid w:val="0"/>
              <w:rPr>
                <w:b/>
                <w:sz w:val="22"/>
                <w:szCs w:val="22"/>
              </w:rPr>
            </w:pPr>
            <w:r w:rsidRPr="00391C8F">
              <w:rPr>
                <w:sz w:val="22"/>
                <w:szCs w:val="22"/>
              </w:rPr>
              <w:t>Designated weekly ‘office hours’ for drop-by guidance plus other one-to-one meetings at appropriate points with teaching staff</w:t>
            </w:r>
          </w:p>
        </w:tc>
      </w:tr>
      <w:tr w:rsidR="00F343BB" w:rsidTr="007B10A1">
        <w:trPr>
          <w:jc w:val="center"/>
        </w:trPr>
        <w:tc>
          <w:tcPr>
            <w:tcW w:w="9270" w:type="dxa"/>
            <w:gridSpan w:val="4"/>
            <w:tcBorders>
              <w:left w:val="nil"/>
              <w:bottom w:val="single" w:sz="4" w:space="0" w:color="000000"/>
              <w:right w:val="nil"/>
            </w:tcBorders>
            <w:shd w:val="clear" w:color="auto" w:fill="auto"/>
          </w:tcPr>
          <w:p w:rsidR="00F343BB" w:rsidRPr="00FF61BE" w:rsidRDefault="00F343BB" w:rsidP="007B10A1">
            <w:pPr>
              <w:pStyle w:val="FootnoteText"/>
              <w:snapToGrid w:val="0"/>
              <w:rPr>
                <w:b/>
                <w:sz w:val="22"/>
              </w:rPr>
            </w:pPr>
          </w:p>
        </w:tc>
      </w:tr>
      <w:tr w:rsidR="00F343BB" w:rsidTr="007B10A1">
        <w:trPr>
          <w:jc w:val="center"/>
        </w:trPr>
        <w:tc>
          <w:tcPr>
            <w:tcW w:w="4538" w:type="dxa"/>
            <w:gridSpan w:val="2"/>
            <w:tcBorders>
              <w:bottom w:val="nil"/>
              <w:right w:val="nil"/>
            </w:tcBorders>
            <w:shd w:val="clear" w:color="auto" w:fill="D9D9D9"/>
          </w:tcPr>
          <w:p w:rsidR="00F343BB" w:rsidRPr="00FF61BE" w:rsidRDefault="00F343BB" w:rsidP="007B10A1">
            <w:pPr>
              <w:snapToGrid w:val="0"/>
              <w:rPr>
                <w:b/>
              </w:rPr>
            </w:pPr>
            <w:r w:rsidRPr="00FF61BE">
              <w:rPr>
                <w:b/>
              </w:rPr>
              <w:t>18. JACS code (or other relevant coding system)</w:t>
            </w:r>
          </w:p>
        </w:tc>
        <w:tc>
          <w:tcPr>
            <w:tcW w:w="4732" w:type="dxa"/>
            <w:gridSpan w:val="2"/>
            <w:tcBorders>
              <w:left w:val="nil"/>
              <w:bottom w:val="nil"/>
            </w:tcBorders>
            <w:shd w:val="clear" w:color="auto" w:fill="auto"/>
            <w:vAlign w:val="center"/>
          </w:tcPr>
          <w:p w:rsidR="00F343BB" w:rsidRPr="00FF61BE" w:rsidRDefault="00F343BB" w:rsidP="007B10A1">
            <w:pPr>
              <w:pStyle w:val="FootnoteText"/>
              <w:snapToGrid w:val="0"/>
              <w:rPr>
                <w:b/>
                <w:sz w:val="22"/>
              </w:rPr>
            </w:pPr>
            <w:r>
              <w:t>N200</w:t>
            </w:r>
          </w:p>
        </w:tc>
      </w:tr>
      <w:tr w:rsidR="00F343BB" w:rsidTr="007B10A1">
        <w:trPr>
          <w:jc w:val="center"/>
        </w:trPr>
        <w:tc>
          <w:tcPr>
            <w:tcW w:w="4538" w:type="dxa"/>
            <w:gridSpan w:val="2"/>
            <w:tcBorders>
              <w:top w:val="nil"/>
              <w:bottom w:val="single" w:sz="4" w:space="0" w:color="000000"/>
              <w:right w:val="nil"/>
            </w:tcBorders>
            <w:shd w:val="clear" w:color="auto" w:fill="D9D9D9"/>
          </w:tcPr>
          <w:p w:rsidR="00F343BB" w:rsidRPr="00FF61BE" w:rsidRDefault="00F343BB" w:rsidP="007B10A1">
            <w:pPr>
              <w:snapToGrid w:val="0"/>
              <w:rPr>
                <w:b/>
              </w:rPr>
            </w:pPr>
            <w:r w:rsidRPr="00FF61BE">
              <w:rPr>
                <w:b/>
              </w:rPr>
              <w:t>19. Relevant QAA subject benchmark group(s)</w:t>
            </w:r>
          </w:p>
        </w:tc>
        <w:tc>
          <w:tcPr>
            <w:tcW w:w="4732" w:type="dxa"/>
            <w:gridSpan w:val="2"/>
            <w:tcBorders>
              <w:top w:val="nil"/>
              <w:left w:val="nil"/>
              <w:bottom w:val="single" w:sz="4" w:space="0" w:color="000000"/>
            </w:tcBorders>
            <w:shd w:val="clear" w:color="auto" w:fill="auto"/>
            <w:vAlign w:val="center"/>
          </w:tcPr>
          <w:p w:rsidR="00F343BB" w:rsidRPr="00FF61BE" w:rsidRDefault="00F343BB" w:rsidP="007B10A1">
            <w:pPr>
              <w:pStyle w:val="FootnoteText"/>
              <w:snapToGrid w:val="0"/>
              <w:rPr>
                <w:b/>
                <w:sz w:val="22"/>
              </w:rPr>
            </w:pPr>
          </w:p>
        </w:tc>
      </w:tr>
      <w:tr w:rsidR="00F343BB" w:rsidRPr="00FF61BE" w:rsidTr="007B10A1">
        <w:trPr>
          <w:jc w:val="center"/>
        </w:trPr>
        <w:tc>
          <w:tcPr>
            <w:tcW w:w="9270" w:type="dxa"/>
            <w:gridSpan w:val="4"/>
            <w:tcBorders>
              <w:left w:val="single" w:sz="4" w:space="0" w:color="FFFFFF"/>
              <w:bottom w:val="single" w:sz="4" w:space="0" w:color="000000"/>
              <w:right w:val="nil"/>
            </w:tcBorders>
            <w:shd w:val="clear" w:color="auto" w:fill="auto"/>
          </w:tcPr>
          <w:p w:rsidR="00F343BB" w:rsidRPr="00FF61BE" w:rsidRDefault="00F343BB" w:rsidP="007B10A1">
            <w:pPr>
              <w:pStyle w:val="FootnoteText"/>
              <w:snapToGrid w:val="0"/>
              <w:rPr>
                <w:b/>
                <w:sz w:val="22"/>
              </w:rPr>
            </w:pPr>
          </w:p>
        </w:tc>
      </w:tr>
      <w:tr w:rsidR="00F343BB" w:rsidRPr="00FF61BE" w:rsidTr="007B10A1">
        <w:trPr>
          <w:jc w:val="center"/>
        </w:trPr>
        <w:tc>
          <w:tcPr>
            <w:tcW w:w="9270" w:type="dxa"/>
            <w:gridSpan w:val="4"/>
            <w:tcBorders>
              <w:bottom w:val="nil"/>
            </w:tcBorders>
            <w:shd w:val="clear" w:color="auto" w:fill="D9D9D9"/>
          </w:tcPr>
          <w:p w:rsidR="00F343BB" w:rsidRPr="00FF61BE" w:rsidRDefault="00F343BB" w:rsidP="007B10A1">
            <w:pPr>
              <w:pStyle w:val="FootnoteText"/>
              <w:snapToGrid w:val="0"/>
              <w:rPr>
                <w:b/>
                <w:sz w:val="22"/>
              </w:rPr>
            </w:pPr>
            <w:r w:rsidRPr="00FF61BE">
              <w:rPr>
                <w:b/>
                <w:sz w:val="22"/>
              </w:rPr>
              <w:t>20. Reference points</w:t>
            </w:r>
          </w:p>
        </w:tc>
      </w:tr>
      <w:tr w:rsidR="00F343BB" w:rsidRPr="00FF61BE" w:rsidTr="007B10A1">
        <w:trPr>
          <w:jc w:val="center"/>
        </w:trPr>
        <w:tc>
          <w:tcPr>
            <w:tcW w:w="9270" w:type="dxa"/>
            <w:gridSpan w:val="4"/>
            <w:tcBorders>
              <w:top w:val="nil"/>
              <w:bottom w:val="single" w:sz="4" w:space="0" w:color="000000"/>
            </w:tcBorders>
            <w:shd w:val="clear" w:color="auto" w:fill="auto"/>
          </w:tcPr>
          <w:p w:rsidR="00F343BB" w:rsidRDefault="00F343BB" w:rsidP="007B10A1">
            <w:pPr>
              <w:ind w:right="34"/>
            </w:pPr>
            <w:r>
              <w:t>QAA Document “Master’s Degrees in Business &amp; Management” 2007</w:t>
            </w:r>
          </w:p>
          <w:p w:rsidR="00F343BB" w:rsidRDefault="00F343BB" w:rsidP="007B10A1">
            <w:r>
              <w:t>QAA Qualifications Framework</w:t>
            </w:r>
          </w:p>
          <w:p w:rsidR="00F343BB" w:rsidRPr="000479F7" w:rsidRDefault="00F343BB" w:rsidP="007B10A1">
            <w:pPr>
              <w:rPr>
                <w:lang w:val="en"/>
              </w:rPr>
            </w:pPr>
            <w:r>
              <w:rPr>
                <w:lang w:val="en"/>
              </w:rPr>
              <w:t>CLQE Document “</w:t>
            </w:r>
            <w:r w:rsidRPr="000479F7">
              <w:rPr>
                <w:lang w:val="en"/>
              </w:rPr>
              <w:t>Learning a</w:t>
            </w:r>
            <w:r>
              <w:rPr>
                <w:lang w:val="en"/>
              </w:rPr>
              <w:t>nd Quality Enhancement Handbook” Guidance 5(vii)</w:t>
            </w:r>
          </w:p>
          <w:p w:rsidR="00F343BB" w:rsidRPr="00494BA5" w:rsidRDefault="00F343BB" w:rsidP="007B10A1">
            <w:pPr>
              <w:pStyle w:val="FootnoteText"/>
              <w:snapToGrid w:val="0"/>
              <w:rPr>
                <w:b/>
                <w:sz w:val="22"/>
                <w:szCs w:val="22"/>
              </w:rPr>
            </w:pPr>
            <w:r w:rsidRPr="00494BA5">
              <w:rPr>
                <w:sz w:val="22"/>
                <w:szCs w:val="22"/>
              </w:rPr>
              <w:t>Middlesex University Regulations 2008/09</w:t>
            </w:r>
          </w:p>
        </w:tc>
      </w:tr>
    </w:tbl>
    <w:p w:rsidR="00797A80" w:rsidRDefault="00797A80"/>
    <w:sectPr w:rsidR="00797A80" w:rsidSect="00797A8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A1D"/>
    <w:multiLevelType w:val="hybridMultilevel"/>
    <w:tmpl w:val="1850F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6CF7BBD"/>
    <w:multiLevelType w:val="singleLevel"/>
    <w:tmpl w:val="8CCE3BAE"/>
    <w:lvl w:ilvl="0">
      <w:start w:val="1"/>
      <w:numFmt w:val="bullet"/>
      <w:lvlText w:val=""/>
      <w:lvlJc w:val="left"/>
      <w:pPr>
        <w:tabs>
          <w:tab w:val="num" w:pos="360"/>
        </w:tabs>
        <w:ind w:left="36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BB"/>
    <w:rsid w:val="00797A80"/>
    <w:rsid w:val="00F343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F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BB"/>
    <w:pPr>
      <w:suppressAutoHyphens/>
    </w:pPr>
    <w:rPr>
      <w:rFonts w:ascii="Arial" w:eastAsia="Times" w:hAnsi="Arial" w:cs="Arial"/>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F343BB"/>
    <w:rPr>
      <w:vertAlign w:val="superscript"/>
    </w:rPr>
  </w:style>
  <w:style w:type="paragraph" w:styleId="BodyText">
    <w:name w:val="Body Text"/>
    <w:basedOn w:val="Normal"/>
    <w:link w:val="BodyTextChar"/>
    <w:rsid w:val="00F343BB"/>
    <w:rPr>
      <w:rFonts w:eastAsia="Times New Roman"/>
    </w:rPr>
  </w:style>
  <w:style w:type="character" w:customStyle="1" w:styleId="BodyTextChar">
    <w:name w:val="Body Text Char"/>
    <w:basedOn w:val="DefaultParagraphFont"/>
    <w:link w:val="BodyText"/>
    <w:rsid w:val="00F343BB"/>
    <w:rPr>
      <w:rFonts w:ascii="Arial" w:eastAsia="Times New Roman" w:hAnsi="Arial" w:cs="Arial"/>
      <w:sz w:val="22"/>
      <w:szCs w:val="22"/>
      <w:lang w:val="en-GB" w:eastAsia="ar-SA"/>
    </w:rPr>
  </w:style>
  <w:style w:type="paragraph" w:styleId="FootnoteText">
    <w:name w:val="footnote text"/>
    <w:basedOn w:val="Normal"/>
    <w:link w:val="FootnoteTextChar"/>
    <w:semiHidden/>
    <w:rsid w:val="00F343BB"/>
    <w:rPr>
      <w:rFonts w:eastAsia="Times New Roman"/>
      <w:sz w:val="20"/>
      <w:szCs w:val="20"/>
    </w:rPr>
  </w:style>
  <w:style w:type="character" w:customStyle="1" w:styleId="FootnoteTextChar">
    <w:name w:val="Footnote Text Char"/>
    <w:basedOn w:val="DefaultParagraphFont"/>
    <w:link w:val="FootnoteText"/>
    <w:semiHidden/>
    <w:rsid w:val="00F343BB"/>
    <w:rPr>
      <w:rFonts w:ascii="Arial" w:eastAsia="Times New Roman" w:hAnsi="Arial" w:cs="Arial"/>
      <w:sz w:val="20"/>
      <w:szCs w:val="20"/>
      <w:lang w:val="en-GB" w:eastAsia="ar-SA"/>
    </w:rPr>
  </w:style>
  <w:style w:type="paragraph" w:styleId="BodyText3">
    <w:name w:val="Body Text 3"/>
    <w:basedOn w:val="Normal"/>
    <w:link w:val="BodyText3Char"/>
    <w:rsid w:val="00F343BB"/>
    <w:pPr>
      <w:spacing w:after="120"/>
    </w:pPr>
    <w:rPr>
      <w:sz w:val="16"/>
      <w:szCs w:val="16"/>
    </w:rPr>
  </w:style>
  <w:style w:type="character" w:customStyle="1" w:styleId="BodyText3Char">
    <w:name w:val="Body Text 3 Char"/>
    <w:basedOn w:val="DefaultParagraphFont"/>
    <w:link w:val="BodyText3"/>
    <w:rsid w:val="00F343BB"/>
    <w:rPr>
      <w:rFonts w:ascii="Arial" w:eastAsia="Times" w:hAnsi="Arial" w:cs="Arial"/>
      <w:sz w:val="16"/>
      <w:szCs w:val="16"/>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BB"/>
    <w:pPr>
      <w:suppressAutoHyphens/>
    </w:pPr>
    <w:rPr>
      <w:rFonts w:ascii="Arial" w:eastAsia="Times" w:hAnsi="Arial" w:cs="Arial"/>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F343BB"/>
    <w:rPr>
      <w:vertAlign w:val="superscript"/>
    </w:rPr>
  </w:style>
  <w:style w:type="paragraph" w:styleId="BodyText">
    <w:name w:val="Body Text"/>
    <w:basedOn w:val="Normal"/>
    <w:link w:val="BodyTextChar"/>
    <w:rsid w:val="00F343BB"/>
    <w:rPr>
      <w:rFonts w:eastAsia="Times New Roman"/>
    </w:rPr>
  </w:style>
  <w:style w:type="character" w:customStyle="1" w:styleId="BodyTextChar">
    <w:name w:val="Body Text Char"/>
    <w:basedOn w:val="DefaultParagraphFont"/>
    <w:link w:val="BodyText"/>
    <w:rsid w:val="00F343BB"/>
    <w:rPr>
      <w:rFonts w:ascii="Arial" w:eastAsia="Times New Roman" w:hAnsi="Arial" w:cs="Arial"/>
      <w:sz w:val="22"/>
      <w:szCs w:val="22"/>
      <w:lang w:val="en-GB" w:eastAsia="ar-SA"/>
    </w:rPr>
  </w:style>
  <w:style w:type="paragraph" w:styleId="FootnoteText">
    <w:name w:val="footnote text"/>
    <w:basedOn w:val="Normal"/>
    <w:link w:val="FootnoteTextChar"/>
    <w:semiHidden/>
    <w:rsid w:val="00F343BB"/>
    <w:rPr>
      <w:rFonts w:eastAsia="Times New Roman"/>
      <w:sz w:val="20"/>
      <w:szCs w:val="20"/>
    </w:rPr>
  </w:style>
  <w:style w:type="character" w:customStyle="1" w:styleId="FootnoteTextChar">
    <w:name w:val="Footnote Text Char"/>
    <w:basedOn w:val="DefaultParagraphFont"/>
    <w:link w:val="FootnoteText"/>
    <w:semiHidden/>
    <w:rsid w:val="00F343BB"/>
    <w:rPr>
      <w:rFonts w:ascii="Arial" w:eastAsia="Times New Roman" w:hAnsi="Arial" w:cs="Arial"/>
      <w:sz w:val="20"/>
      <w:szCs w:val="20"/>
      <w:lang w:val="en-GB" w:eastAsia="ar-SA"/>
    </w:rPr>
  </w:style>
  <w:style w:type="paragraph" w:styleId="BodyText3">
    <w:name w:val="Body Text 3"/>
    <w:basedOn w:val="Normal"/>
    <w:link w:val="BodyText3Char"/>
    <w:rsid w:val="00F343BB"/>
    <w:pPr>
      <w:spacing w:after="120"/>
    </w:pPr>
    <w:rPr>
      <w:sz w:val="16"/>
      <w:szCs w:val="16"/>
    </w:rPr>
  </w:style>
  <w:style w:type="character" w:customStyle="1" w:styleId="BodyText3Char">
    <w:name w:val="Body Text 3 Char"/>
    <w:basedOn w:val="DefaultParagraphFont"/>
    <w:link w:val="BodyText3"/>
    <w:rsid w:val="00F343BB"/>
    <w:rPr>
      <w:rFonts w:ascii="Arial" w:eastAsia="Times" w:hAnsi="Arial" w:cs="Arial"/>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1608</Words>
  <Characters>9171</Characters>
  <Application>Microsoft Macintosh Word</Application>
  <DocSecurity>0</DocSecurity>
  <Lines>76</Lines>
  <Paragraphs>21</Paragraphs>
  <ScaleCrop>false</ScaleCrop>
  <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Stankov</dc:creator>
  <cp:keywords/>
  <dc:description/>
  <cp:lastModifiedBy>Ivor  Stankov</cp:lastModifiedBy>
  <cp:revision>1</cp:revision>
  <dcterms:created xsi:type="dcterms:W3CDTF">2013-03-03T19:45:00Z</dcterms:created>
  <dcterms:modified xsi:type="dcterms:W3CDTF">2013-03-03T19:46:00Z</dcterms:modified>
</cp:coreProperties>
</file>