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D0" w:rsidRDefault="00E44AD0" w:rsidP="00E44AD0">
      <w:pPr>
        <w:pStyle w:val="Heading1PH"/>
        <w:rPr>
          <w:sz w:val="32"/>
        </w:rPr>
      </w:pPr>
      <w:bookmarkStart w:id="0" w:name="_Toc231355288"/>
      <w:bookmarkStart w:id="1" w:name="_Toc294704786"/>
      <w:r>
        <w:rPr>
          <w:noProof/>
          <w:sz w:val="32"/>
          <w:lang w:val="en-US" w:eastAsia="en-US"/>
        </w:rPr>
        <w:drawing>
          <wp:anchor distT="0" distB="0" distL="114300" distR="114300" simplePos="0" relativeHeight="251659264" behindDoc="1" locked="0" layoutInCell="1" allowOverlap="1" wp14:anchorId="0DA8B43F" wp14:editId="1C179E2B">
            <wp:simplePos x="0" y="0"/>
            <wp:positionH relativeFrom="column">
              <wp:posOffset>2702560</wp:posOffset>
            </wp:positionH>
            <wp:positionV relativeFrom="paragraph">
              <wp:posOffset>29845</wp:posOffset>
            </wp:positionV>
            <wp:extent cx="1943100" cy="847725"/>
            <wp:effectExtent l="0" t="0" r="1270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61154" t="21829" r="8757" b="54868"/>
                    <a:stretch>
                      <a:fillRect/>
                    </a:stretch>
                  </pic:blipFill>
                  <pic:spPr bwMode="auto">
                    <a:xfrm>
                      <a:off x="0" y="0"/>
                      <a:ext cx="1943100" cy="8477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Toc337044353"/>
      <w:r w:rsidRPr="003D6049">
        <w:rPr>
          <w:sz w:val="32"/>
        </w:rPr>
        <w:t>Programme Specification</w:t>
      </w:r>
      <w:bookmarkEnd w:id="2"/>
      <w:r w:rsidRPr="003D6049">
        <w:rPr>
          <w:sz w:val="32"/>
        </w:rPr>
        <w:t xml:space="preserve"> </w:t>
      </w:r>
    </w:p>
    <w:p w:rsidR="00E44AD0" w:rsidRPr="00E44AD0" w:rsidRDefault="00E44AD0" w:rsidP="00E44AD0">
      <w:pPr>
        <w:pStyle w:val="Heading1PH"/>
        <w:rPr>
          <w:sz w:val="32"/>
        </w:rPr>
      </w:pPr>
      <w:bookmarkStart w:id="3" w:name="_Toc337044354"/>
      <w:r w:rsidRPr="003D6049">
        <w:rPr>
          <w:sz w:val="32"/>
        </w:rPr>
        <w:t>for</w:t>
      </w:r>
      <w:bookmarkEnd w:id="0"/>
      <w:bookmarkEnd w:id="1"/>
      <w:bookmarkEnd w:id="3"/>
      <w:r>
        <w:rPr>
          <w:sz w:val="32"/>
        </w:rPr>
        <w:t xml:space="preserve"> </w:t>
      </w:r>
      <w:bookmarkStart w:id="4" w:name="_Toc337044355"/>
      <w:bookmarkStart w:id="5" w:name="_GoBack"/>
      <w:bookmarkEnd w:id="5"/>
      <w:r w:rsidRPr="00E44AD0">
        <w:rPr>
          <w:sz w:val="32"/>
        </w:rPr>
        <w:t>MA/MSc Creative</w:t>
      </w:r>
      <w:bookmarkEnd w:id="4"/>
      <w:r w:rsidRPr="00E44AD0">
        <w:rPr>
          <w:sz w:val="32"/>
        </w:rPr>
        <w:t xml:space="preserve"> </w:t>
      </w:r>
    </w:p>
    <w:p w:rsidR="00E44AD0" w:rsidRPr="001C7532" w:rsidRDefault="00E44AD0" w:rsidP="00E44AD0">
      <w:pPr>
        <w:pStyle w:val="Heading1PH"/>
        <w:rPr>
          <w:sz w:val="32"/>
        </w:rPr>
      </w:pPr>
      <w:bookmarkStart w:id="6" w:name="_Toc337044356"/>
      <w:r>
        <w:rPr>
          <w:sz w:val="32"/>
        </w:rPr>
        <w:t>Technology</w:t>
      </w:r>
      <w:bookmarkEnd w:id="6"/>
    </w:p>
    <w:p w:rsidR="00E44AD0" w:rsidRPr="00F71715" w:rsidRDefault="00E44AD0" w:rsidP="00E44AD0">
      <w:pPr>
        <w:jc w:val="right"/>
        <w:rPr>
          <w:b/>
        </w:rPr>
      </w:pPr>
    </w:p>
    <w:tbl>
      <w:tblPr>
        <w:tblW w:w="7601" w:type="dxa"/>
        <w:jc w:val="center"/>
        <w:tblInd w:w="-17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407"/>
        <w:gridCol w:w="4194"/>
      </w:tblGrid>
      <w:tr w:rsidR="00E44AD0" w:rsidRPr="00F71715" w:rsidTr="007B10A1">
        <w:trPr>
          <w:trHeight w:val="264"/>
          <w:jc w:val="center"/>
        </w:trPr>
        <w:tc>
          <w:tcPr>
            <w:tcW w:w="3407" w:type="dxa"/>
            <w:shd w:val="clear" w:color="auto" w:fill="DFDFDF"/>
          </w:tcPr>
          <w:p w:rsidR="00E44AD0" w:rsidRPr="00F71715" w:rsidRDefault="00E44AD0" w:rsidP="007B10A1">
            <w:pPr>
              <w:snapToGrid w:val="0"/>
              <w:rPr>
                <w:b/>
              </w:rPr>
            </w:pPr>
            <w:r w:rsidRPr="00F71715">
              <w:rPr>
                <w:b/>
              </w:rPr>
              <w:t>1. Programme title</w:t>
            </w:r>
          </w:p>
        </w:tc>
        <w:tc>
          <w:tcPr>
            <w:tcW w:w="4194" w:type="dxa"/>
          </w:tcPr>
          <w:p w:rsidR="00E44AD0" w:rsidRDefault="00E44AD0" w:rsidP="007B10A1">
            <w:pPr>
              <w:snapToGrid w:val="0"/>
            </w:pPr>
            <w:r>
              <w:t>MA/MSc Creative Technology</w:t>
            </w:r>
          </w:p>
        </w:tc>
      </w:tr>
      <w:tr w:rsidR="00E44AD0" w:rsidRPr="00F71715" w:rsidTr="007B10A1">
        <w:trPr>
          <w:trHeight w:val="253"/>
          <w:jc w:val="center"/>
        </w:trPr>
        <w:tc>
          <w:tcPr>
            <w:tcW w:w="3407" w:type="dxa"/>
            <w:shd w:val="clear" w:color="auto" w:fill="DFDFDF"/>
          </w:tcPr>
          <w:p w:rsidR="00E44AD0" w:rsidRPr="00F71715" w:rsidRDefault="00E44AD0" w:rsidP="007B10A1">
            <w:pPr>
              <w:snapToGrid w:val="0"/>
              <w:rPr>
                <w:b/>
              </w:rPr>
            </w:pPr>
            <w:r w:rsidRPr="00F71715">
              <w:rPr>
                <w:b/>
              </w:rPr>
              <w:t xml:space="preserve">2. Awarding institution </w:t>
            </w:r>
          </w:p>
        </w:tc>
        <w:tc>
          <w:tcPr>
            <w:tcW w:w="4194" w:type="dxa"/>
          </w:tcPr>
          <w:p w:rsidR="00E44AD0" w:rsidRDefault="00E44AD0" w:rsidP="007B10A1">
            <w:pPr>
              <w:snapToGrid w:val="0"/>
            </w:pPr>
            <w:r>
              <w:t>Middlesex University</w:t>
            </w:r>
          </w:p>
        </w:tc>
      </w:tr>
      <w:tr w:rsidR="00E44AD0" w:rsidRPr="00F71715" w:rsidTr="007B10A1">
        <w:trPr>
          <w:trHeight w:val="264"/>
          <w:jc w:val="center"/>
        </w:trPr>
        <w:tc>
          <w:tcPr>
            <w:tcW w:w="3407" w:type="dxa"/>
            <w:shd w:val="clear" w:color="auto" w:fill="DFDFDF"/>
          </w:tcPr>
          <w:p w:rsidR="00E44AD0" w:rsidRPr="00F71715" w:rsidRDefault="00E44AD0" w:rsidP="007B10A1">
            <w:pPr>
              <w:snapToGrid w:val="0"/>
              <w:rPr>
                <w:b/>
              </w:rPr>
            </w:pPr>
            <w:r w:rsidRPr="00F71715">
              <w:rPr>
                <w:b/>
              </w:rPr>
              <w:t xml:space="preserve">3. Teaching institution </w:t>
            </w:r>
          </w:p>
        </w:tc>
        <w:tc>
          <w:tcPr>
            <w:tcW w:w="4194" w:type="dxa"/>
          </w:tcPr>
          <w:p w:rsidR="00E44AD0" w:rsidRDefault="00E44AD0" w:rsidP="007B10A1">
            <w:pPr>
              <w:snapToGrid w:val="0"/>
            </w:pPr>
            <w:r>
              <w:t>Middlesex University</w:t>
            </w:r>
          </w:p>
        </w:tc>
      </w:tr>
      <w:tr w:rsidR="00E44AD0" w:rsidRPr="00F71715" w:rsidTr="007B10A1">
        <w:trPr>
          <w:trHeight w:val="253"/>
          <w:jc w:val="center"/>
        </w:trPr>
        <w:tc>
          <w:tcPr>
            <w:tcW w:w="3407" w:type="dxa"/>
            <w:shd w:val="clear" w:color="auto" w:fill="DFDFDF"/>
          </w:tcPr>
          <w:p w:rsidR="00E44AD0" w:rsidRPr="00F71715" w:rsidRDefault="00E44AD0" w:rsidP="007B10A1">
            <w:pPr>
              <w:snapToGrid w:val="0"/>
              <w:rPr>
                <w:b/>
              </w:rPr>
            </w:pPr>
            <w:r w:rsidRPr="00F71715">
              <w:rPr>
                <w:b/>
              </w:rPr>
              <w:t xml:space="preserve">4. Programme accredited by </w:t>
            </w:r>
          </w:p>
        </w:tc>
        <w:tc>
          <w:tcPr>
            <w:tcW w:w="4194" w:type="dxa"/>
          </w:tcPr>
          <w:p w:rsidR="00E44AD0" w:rsidRDefault="00E44AD0" w:rsidP="007B10A1">
            <w:pPr>
              <w:snapToGrid w:val="0"/>
            </w:pPr>
            <w:r>
              <w:t>N/A</w:t>
            </w:r>
          </w:p>
        </w:tc>
      </w:tr>
      <w:tr w:rsidR="00E44AD0" w:rsidRPr="00F71715" w:rsidTr="007B10A1">
        <w:trPr>
          <w:trHeight w:val="264"/>
          <w:jc w:val="center"/>
        </w:trPr>
        <w:tc>
          <w:tcPr>
            <w:tcW w:w="3407" w:type="dxa"/>
            <w:shd w:val="clear" w:color="auto" w:fill="DFDFDF"/>
          </w:tcPr>
          <w:p w:rsidR="00E44AD0" w:rsidRPr="00F71715" w:rsidRDefault="00E44AD0" w:rsidP="007B10A1">
            <w:pPr>
              <w:snapToGrid w:val="0"/>
              <w:rPr>
                <w:b/>
              </w:rPr>
            </w:pPr>
            <w:r w:rsidRPr="00F71715">
              <w:rPr>
                <w:b/>
              </w:rPr>
              <w:t xml:space="preserve">5. Final qualification </w:t>
            </w:r>
          </w:p>
        </w:tc>
        <w:tc>
          <w:tcPr>
            <w:tcW w:w="4194" w:type="dxa"/>
          </w:tcPr>
          <w:p w:rsidR="00E44AD0" w:rsidRDefault="00E44AD0" w:rsidP="007B10A1">
            <w:pPr>
              <w:snapToGrid w:val="0"/>
            </w:pPr>
            <w:r>
              <w:t>MA/MSc</w:t>
            </w:r>
          </w:p>
        </w:tc>
      </w:tr>
      <w:tr w:rsidR="00E44AD0" w:rsidRPr="00F71715" w:rsidTr="007B10A1">
        <w:trPr>
          <w:trHeight w:val="253"/>
          <w:jc w:val="center"/>
        </w:trPr>
        <w:tc>
          <w:tcPr>
            <w:tcW w:w="3407" w:type="dxa"/>
            <w:shd w:val="clear" w:color="auto" w:fill="DFDFDF"/>
          </w:tcPr>
          <w:p w:rsidR="00E44AD0" w:rsidRPr="00F71715" w:rsidRDefault="00E44AD0" w:rsidP="007B10A1">
            <w:pPr>
              <w:snapToGrid w:val="0"/>
              <w:rPr>
                <w:b/>
              </w:rPr>
            </w:pPr>
            <w:r w:rsidRPr="00F71715">
              <w:rPr>
                <w:b/>
              </w:rPr>
              <w:t>6. Academic year</w:t>
            </w:r>
          </w:p>
        </w:tc>
        <w:tc>
          <w:tcPr>
            <w:tcW w:w="4194" w:type="dxa"/>
          </w:tcPr>
          <w:p w:rsidR="00E44AD0" w:rsidRDefault="00E44AD0" w:rsidP="007B10A1">
            <w:pPr>
              <w:snapToGrid w:val="0"/>
            </w:pPr>
            <w:r>
              <w:t>2012/13</w:t>
            </w:r>
          </w:p>
        </w:tc>
      </w:tr>
      <w:tr w:rsidR="00E44AD0" w:rsidRPr="00F71715" w:rsidTr="007B10A1">
        <w:trPr>
          <w:trHeight w:val="253"/>
          <w:jc w:val="center"/>
        </w:trPr>
        <w:tc>
          <w:tcPr>
            <w:tcW w:w="3407" w:type="dxa"/>
            <w:shd w:val="clear" w:color="auto" w:fill="DFDFDF"/>
          </w:tcPr>
          <w:p w:rsidR="00E44AD0" w:rsidRPr="00F71715" w:rsidRDefault="00E44AD0" w:rsidP="007B10A1">
            <w:pPr>
              <w:snapToGrid w:val="0"/>
              <w:rPr>
                <w:b/>
              </w:rPr>
            </w:pPr>
            <w:r w:rsidRPr="00F71715">
              <w:rPr>
                <w:b/>
              </w:rPr>
              <w:t>7. Language of study</w:t>
            </w:r>
          </w:p>
        </w:tc>
        <w:tc>
          <w:tcPr>
            <w:tcW w:w="4194" w:type="dxa"/>
          </w:tcPr>
          <w:p w:rsidR="00E44AD0" w:rsidRDefault="00E44AD0" w:rsidP="007B10A1">
            <w:pPr>
              <w:snapToGrid w:val="0"/>
            </w:pPr>
            <w:r>
              <w:t>English</w:t>
            </w:r>
          </w:p>
        </w:tc>
      </w:tr>
      <w:tr w:rsidR="00E44AD0" w:rsidRPr="00F71715" w:rsidTr="007B10A1">
        <w:trPr>
          <w:trHeight w:val="275"/>
          <w:jc w:val="center"/>
        </w:trPr>
        <w:tc>
          <w:tcPr>
            <w:tcW w:w="3407" w:type="dxa"/>
            <w:shd w:val="clear" w:color="auto" w:fill="DFDFDF"/>
          </w:tcPr>
          <w:p w:rsidR="00E44AD0" w:rsidRPr="00F71715" w:rsidRDefault="00E44AD0" w:rsidP="007B10A1">
            <w:pPr>
              <w:snapToGrid w:val="0"/>
              <w:rPr>
                <w:b/>
              </w:rPr>
            </w:pPr>
            <w:r w:rsidRPr="00F71715">
              <w:rPr>
                <w:b/>
              </w:rPr>
              <w:t>8. Mode of study</w:t>
            </w:r>
          </w:p>
        </w:tc>
        <w:tc>
          <w:tcPr>
            <w:tcW w:w="4194" w:type="dxa"/>
          </w:tcPr>
          <w:p w:rsidR="00E44AD0" w:rsidRDefault="00E44AD0" w:rsidP="007B10A1">
            <w:pPr>
              <w:snapToGrid w:val="0"/>
            </w:pPr>
            <w:r>
              <w:t>1 Year Full-time 2 Years Part-time</w:t>
            </w:r>
          </w:p>
        </w:tc>
      </w:tr>
    </w:tbl>
    <w:p w:rsidR="00E44AD0" w:rsidRPr="00F71715" w:rsidRDefault="00E44AD0" w:rsidP="00E44AD0"/>
    <w:tbl>
      <w:tblPr>
        <w:tblW w:w="7655" w:type="dxa"/>
        <w:jc w:val="center"/>
        <w:tblInd w:w="-176" w:type="dxa"/>
        <w:tblLayout w:type="fixed"/>
        <w:tblLook w:val="0000" w:firstRow="0" w:lastRow="0" w:firstColumn="0" w:lastColumn="0" w:noHBand="0" w:noVBand="0"/>
      </w:tblPr>
      <w:tblGrid>
        <w:gridCol w:w="7655"/>
      </w:tblGrid>
      <w:tr w:rsidR="00E44AD0" w:rsidRPr="00F71715" w:rsidTr="007B10A1">
        <w:trPr>
          <w:jc w:val="center"/>
        </w:trPr>
        <w:tc>
          <w:tcPr>
            <w:tcW w:w="7655" w:type="dxa"/>
            <w:tcBorders>
              <w:top w:val="single" w:sz="4" w:space="0" w:color="000000"/>
              <w:left w:val="single" w:sz="4" w:space="0" w:color="000000"/>
              <w:bottom w:val="single" w:sz="4" w:space="0" w:color="000000"/>
              <w:right w:val="single" w:sz="4" w:space="0" w:color="000000"/>
            </w:tcBorders>
          </w:tcPr>
          <w:p w:rsidR="00E44AD0" w:rsidRPr="00F71715" w:rsidRDefault="00E44AD0" w:rsidP="007B10A1">
            <w:pPr>
              <w:shd w:val="clear" w:color="auto" w:fill="E0E0E0"/>
              <w:snapToGrid w:val="0"/>
              <w:rPr>
                <w:rFonts w:eastAsia="Times New Roman"/>
                <w:b/>
              </w:rPr>
            </w:pPr>
            <w:r w:rsidRPr="00F71715">
              <w:rPr>
                <w:rFonts w:eastAsia="Times New Roman"/>
                <w:b/>
              </w:rPr>
              <w:t>9. Criteria for admission to the programme</w:t>
            </w:r>
          </w:p>
          <w:p w:rsidR="00E44AD0" w:rsidRDefault="00E44AD0" w:rsidP="007B10A1">
            <w:pPr>
              <w:jc w:val="both"/>
            </w:pPr>
            <w:proofErr w:type="gramStart"/>
            <w:r>
              <w:t>i)  The</w:t>
            </w:r>
            <w:proofErr w:type="gramEnd"/>
            <w:r>
              <w:t xml:space="preserve"> recruitment process complies with the University regulations.</w:t>
            </w:r>
          </w:p>
          <w:p w:rsidR="00E44AD0" w:rsidRDefault="00E44AD0" w:rsidP="007B10A1">
            <w:pPr>
              <w:jc w:val="both"/>
            </w:pPr>
          </w:p>
          <w:p w:rsidR="00E44AD0" w:rsidRDefault="00E44AD0" w:rsidP="007B10A1">
            <w:pPr>
              <w:jc w:val="both"/>
            </w:pPr>
            <w:r>
              <w:t>ii) The programme seeks to recruit students who possess an appropriate undergraduate qualification and can demonstrate an interest in working with creative technologies.</w:t>
            </w:r>
          </w:p>
          <w:p w:rsidR="00E44AD0" w:rsidRDefault="00E44AD0" w:rsidP="007B10A1">
            <w:pPr>
              <w:jc w:val="both"/>
            </w:pPr>
          </w:p>
          <w:p w:rsidR="00E44AD0" w:rsidRDefault="00E44AD0" w:rsidP="007B10A1">
            <w:pPr>
              <w:jc w:val="both"/>
            </w:pPr>
            <w:r>
              <w:t>iii) The programme will draw, though not exclusively, from two broad sources that reflect the disciplines and skills that the programme draws together:</w:t>
            </w:r>
          </w:p>
          <w:p w:rsidR="00E44AD0" w:rsidRDefault="00E44AD0" w:rsidP="007B10A1">
            <w:pPr>
              <w:jc w:val="both"/>
            </w:pPr>
          </w:p>
          <w:p w:rsidR="00E44AD0" w:rsidRDefault="00E44AD0" w:rsidP="00E44AD0">
            <w:pPr>
              <w:numPr>
                <w:ilvl w:val="0"/>
                <w:numId w:val="5"/>
              </w:numPr>
              <w:suppressAutoHyphens w:val="0"/>
              <w:jc w:val="both"/>
            </w:pPr>
            <w:r>
              <w:t xml:space="preserve">Computing graduates, who will have a good degree (2:1 or better) in Computing Science or a similar discipline, who will have studied at least some human computer interaction, media technology, gaming or similar topics at undergraduate level. </w:t>
            </w:r>
          </w:p>
          <w:p w:rsidR="00E44AD0" w:rsidRPr="002423F5" w:rsidRDefault="00E44AD0" w:rsidP="00E44AD0">
            <w:pPr>
              <w:numPr>
                <w:ilvl w:val="0"/>
                <w:numId w:val="5"/>
              </w:numPr>
              <w:suppressAutoHyphens w:val="0"/>
              <w:jc w:val="both"/>
              <w:rPr>
                <w:b/>
              </w:rPr>
            </w:pPr>
            <w:r>
              <w:t>Art, Design and Media graduates, especially those with a background in fine art, performance or digital media, again with a good undergraduate degree (2:1 or better). Such applicants should have some experience of working with computational artefacts and be comfortable – if not necessarily expert – in using scripting languages, authorware, and other highly configurable software packages.</w:t>
            </w:r>
          </w:p>
          <w:p w:rsidR="00E44AD0" w:rsidRDefault="00E44AD0" w:rsidP="007B10A1">
            <w:pPr>
              <w:suppressAutoHyphens w:val="0"/>
              <w:ind w:left="360"/>
              <w:jc w:val="both"/>
              <w:rPr>
                <w:b/>
              </w:rPr>
            </w:pPr>
          </w:p>
          <w:p w:rsidR="00E44AD0" w:rsidRDefault="00E44AD0" w:rsidP="007B10A1">
            <w:pPr>
              <w:jc w:val="both"/>
            </w:pPr>
            <w:r>
              <w:t xml:space="preserve">iv) Candidates will be expected to demonstrate an appropriate level of aptitude in their application for admission to the programme, and may be interviewed if the programme team deem it necessary. The interview will give the applicant an opportunity both to learn more about the programme and to provide further evidence of their aptitude for and interest in working with creative technologies and digital media. </w:t>
            </w:r>
          </w:p>
          <w:p w:rsidR="00E44AD0" w:rsidRDefault="00E44AD0" w:rsidP="007B10A1">
            <w:pPr>
              <w:jc w:val="both"/>
            </w:pPr>
          </w:p>
          <w:p w:rsidR="00E44AD0" w:rsidRDefault="00E44AD0" w:rsidP="007B10A1">
            <w:pPr>
              <w:jc w:val="both"/>
            </w:pPr>
            <w:r>
              <w:t>v) Candidates who do not meet the standard degree entry requirements may still be admitted if they can demonstrate that their professional experience has given them an appropriate level of ability in working with creative technologies and digital media. For such candidates, it may also be possible to give some accreditation of prior learning (up to 30 credits, to be set against CMT4600).</w:t>
            </w:r>
          </w:p>
          <w:p w:rsidR="00E44AD0" w:rsidRDefault="00E44AD0" w:rsidP="007B10A1">
            <w:pPr>
              <w:jc w:val="both"/>
            </w:pPr>
          </w:p>
          <w:p w:rsidR="00E44AD0" w:rsidRDefault="00E44AD0" w:rsidP="007B10A1">
            <w:pPr>
              <w:pStyle w:val="hbookbodytext"/>
              <w:spacing w:after="0" w:line="240" w:lineRule="auto"/>
              <w:jc w:val="both"/>
            </w:pPr>
            <w:r>
              <w:t xml:space="preserve">vi) The recruitment process and the interview will also present an opportunity to inform applicants about other related provision within the University, allowing students to ensure that they are on the programme best suited to their interests and expectations. </w:t>
            </w:r>
          </w:p>
          <w:p w:rsidR="00E44AD0" w:rsidRDefault="00E44AD0" w:rsidP="007B10A1">
            <w:pPr>
              <w:pStyle w:val="hbookbodytext"/>
              <w:spacing w:after="0" w:line="240" w:lineRule="auto"/>
            </w:pPr>
          </w:p>
          <w:p w:rsidR="00E44AD0" w:rsidRDefault="00E44AD0" w:rsidP="007B10A1">
            <w:r>
              <w:t xml:space="preserve">vii) </w:t>
            </w:r>
            <w:r w:rsidRPr="006B3B13">
              <w:t>Candidates will need a high level of competence in the use of English, equivalent to at least 6.5 in the IELTS test or TOEFL 575 (paper based), 237 (computer based).</w:t>
            </w:r>
          </w:p>
          <w:p w:rsidR="00E44AD0" w:rsidRDefault="00E44AD0" w:rsidP="007B10A1"/>
          <w:p w:rsidR="00E44AD0" w:rsidRPr="000F2439" w:rsidRDefault="00E44AD0" w:rsidP="007B10A1">
            <w:r>
              <w:t>viii) The exit award achieved by a student (MA or MSc) is not a reflection of the student’s entry qualifications, but is determined by the student’s progress through the programme and in particular by the nature of the choice of final project. It is anticipated that in the normal state of affairs, a student who wishes to progress through the programme to e.g. an MSc will be able to do so, but that will be dependent on the student displaying sufficient of the skills associated with MSc programmes (see statement on Benchmarking Standards below).</w:t>
            </w:r>
          </w:p>
        </w:tc>
      </w:tr>
    </w:tbl>
    <w:p w:rsidR="00E44AD0" w:rsidRPr="00F71715" w:rsidRDefault="00E44AD0" w:rsidP="00E44AD0"/>
    <w:tbl>
      <w:tblPr>
        <w:tblW w:w="7655" w:type="dxa"/>
        <w:jc w:val="center"/>
        <w:tblInd w:w="-176" w:type="dxa"/>
        <w:tblLayout w:type="fixed"/>
        <w:tblLook w:val="0000" w:firstRow="0" w:lastRow="0" w:firstColumn="0" w:lastColumn="0" w:noHBand="0" w:noVBand="0"/>
      </w:tblPr>
      <w:tblGrid>
        <w:gridCol w:w="3686"/>
        <w:gridCol w:w="3969"/>
      </w:tblGrid>
      <w:tr w:rsidR="00E44AD0" w:rsidRPr="00F71715" w:rsidTr="007B10A1">
        <w:trPr>
          <w:jc w:val="center"/>
        </w:trPr>
        <w:tc>
          <w:tcPr>
            <w:tcW w:w="7655" w:type="dxa"/>
            <w:gridSpan w:val="2"/>
            <w:tcBorders>
              <w:top w:val="single" w:sz="4" w:space="0" w:color="000000"/>
              <w:left w:val="single" w:sz="4" w:space="0" w:color="000000"/>
              <w:right w:val="single" w:sz="4" w:space="0" w:color="000000"/>
            </w:tcBorders>
            <w:shd w:val="clear" w:color="auto" w:fill="DFDFDF"/>
          </w:tcPr>
          <w:p w:rsidR="00E44AD0" w:rsidRPr="00F71715" w:rsidRDefault="00E44AD0" w:rsidP="007B10A1">
            <w:pPr>
              <w:snapToGrid w:val="0"/>
              <w:rPr>
                <w:b/>
              </w:rPr>
            </w:pPr>
            <w:r w:rsidRPr="00F71715">
              <w:rPr>
                <w:b/>
              </w:rPr>
              <w:t>10. Aims of the programme</w:t>
            </w:r>
          </w:p>
        </w:tc>
      </w:tr>
      <w:tr w:rsidR="00E44AD0" w:rsidRPr="00F71715" w:rsidTr="007B10A1">
        <w:trPr>
          <w:trHeight w:val="302"/>
          <w:jc w:val="center"/>
        </w:trPr>
        <w:tc>
          <w:tcPr>
            <w:tcW w:w="7655" w:type="dxa"/>
            <w:gridSpan w:val="2"/>
            <w:tcBorders>
              <w:left w:val="single" w:sz="4" w:space="0" w:color="000000"/>
              <w:bottom w:val="single" w:sz="4" w:space="0" w:color="000000"/>
              <w:right w:val="single" w:sz="4" w:space="0" w:color="000000"/>
            </w:tcBorders>
          </w:tcPr>
          <w:p w:rsidR="00E44AD0" w:rsidRPr="00F71715" w:rsidRDefault="00E44AD0" w:rsidP="007B10A1">
            <w:pPr>
              <w:snapToGrid w:val="0"/>
            </w:pPr>
            <w:r w:rsidRPr="00F71715">
              <w:t>The programme aims to:</w:t>
            </w:r>
          </w:p>
          <w:p w:rsidR="00E44AD0" w:rsidRPr="006C6D94" w:rsidRDefault="00E44AD0" w:rsidP="007B10A1">
            <w:pPr>
              <w:pStyle w:val="hbookbodytext"/>
              <w:rPr>
                <w:color w:val="000000"/>
              </w:rPr>
            </w:pPr>
            <w:proofErr w:type="gramStart"/>
            <w:r w:rsidRPr="006C6D94">
              <w:rPr>
                <w:color w:val="000000"/>
              </w:rPr>
              <w:t>provide</w:t>
            </w:r>
            <w:proofErr w:type="gramEnd"/>
            <w:r w:rsidRPr="006C6D94">
              <w:rPr>
                <w:color w:val="000000"/>
              </w:rPr>
              <w:t xml:space="preserve"> supportive critical and creative space for the stud</w:t>
            </w:r>
            <w:r>
              <w:rPr>
                <w:color w:val="000000"/>
              </w:rPr>
              <w:t xml:space="preserve">ent to develop his/her own </w:t>
            </w:r>
            <w:r w:rsidRPr="006C6D94">
              <w:rPr>
                <w:color w:val="000000"/>
              </w:rPr>
              <w:t>personal talents and goals as a critically reflective writer;</w:t>
            </w:r>
          </w:p>
          <w:p w:rsidR="00E44AD0" w:rsidRPr="000F2439" w:rsidRDefault="00E44AD0" w:rsidP="007B10A1">
            <w:proofErr w:type="gramStart"/>
            <w:r w:rsidRPr="006C6D94">
              <w:rPr>
                <w:color w:val="000000"/>
              </w:rPr>
              <w:t>enable</w:t>
            </w:r>
            <w:proofErr w:type="gramEnd"/>
            <w:r w:rsidRPr="006C6D94">
              <w:rPr>
                <w:color w:val="000000"/>
              </w:rPr>
              <w:t xml:space="preserve"> students to explore the craft of professional writing for a range of markets and genres</w:t>
            </w:r>
            <w:r>
              <w:rPr>
                <w:color w:val="000000"/>
              </w:rPr>
              <w:t>.</w:t>
            </w:r>
          </w:p>
        </w:tc>
      </w:tr>
      <w:tr w:rsidR="00E44AD0" w:rsidRPr="00F71715" w:rsidTr="007B10A1">
        <w:trPr>
          <w:cantSplit/>
          <w:jc w:val="center"/>
        </w:trPr>
        <w:tc>
          <w:tcPr>
            <w:tcW w:w="7655" w:type="dxa"/>
            <w:gridSpan w:val="2"/>
            <w:tcBorders>
              <w:top w:val="single" w:sz="4" w:space="0" w:color="000000"/>
              <w:left w:val="single" w:sz="4" w:space="0" w:color="000000"/>
              <w:right w:val="single" w:sz="4" w:space="0" w:color="000000"/>
            </w:tcBorders>
            <w:shd w:val="clear" w:color="auto" w:fill="DFDFDF"/>
          </w:tcPr>
          <w:p w:rsidR="00E44AD0" w:rsidRPr="00F71715" w:rsidRDefault="00E44AD0" w:rsidP="007B10A1">
            <w:pPr>
              <w:snapToGrid w:val="0"/>
              <w:rPr>
                <w:b/>
              </w:rPr>
            </w:pPr>
            <w:r>
              <w:rPr>
                <w:b/>
              </w:rPr>
              <w:t>1</w:t>
            </w:r>
            <w:r w:rsidRPr="00F71715">
              <w:rPr>
                <w:b/>
              </w:rPr>
              <w:t>1. Programme outcomes</w:t>
            </w:r>
          </w:p>
        </w:tc>
      </w:tr>
      <w:tr w:rsidR="00E44AD0" w:rsidRPr="00F71715" w:rsidTr="007B10A1">
        <w:trPr>
          <w:jc w:val="center"/>
        </w:trPr>
        <w:tc>
          <w:tcPr>
            <w:tcW w:w="3686" w:type="dxa"/>
            <w:tcBorders>
              <w:left w:val="single" w:sz="4" w:space="0" w:color="000000"/>
              <w:bottom w:val="single" w:sz="4" w:space="0" w:color="000000"/>
            </w:tcBorders>
          </w:tcPr>
          <w:p w:rsidR="00E44AD0" w:rsidRPr="00F71715" w:rsidRDefault="00E44AD0" w:rsidP="007B10A1">
            <w:pPr>
              <w:snapToGrid w:val="0"/>
              <w:rPr>
                <w:b/>
              </w:rPr>
            </w:pPr>
            <w:r w:rsidRPr="00F71715">
              <w:rPr>
                <w:b/>
              </w:rPr>
              <w:t>A. Knowledge and understanding</w:t>
            </w:r>
          </w:p>
          <w:p w:rsidR="00E44AD0" w:rsidRDefault="00E44AD0" w:rsidP="007B10A1">
            <w:r w:rsidRPr="00F71715">
              <w:t>On completion of this programme the successful student will have</w:t>
            </w:r>
            <w:r>
              <w:t xml:space="preserve"> knowledge and understanding of</w:t>
            </w:r>
            <w:r w:rsidRPr="00F71715">
              <w:t>:</w:t>
            </w:r>
            <w:r>
              <w:t xml:space="preserve"> </w:t>
            </w:r>
          </w:p>
          <w:p w:rsidR="00E44AD0" w:rsidRDefault="00E44AD0" w:rsidP="007B10A1"/>
          <w:p w:rsidR="00E44AD0" w:rsidRPr="006C6D94" w:rsidRDefault="00E44AD0" w:rsidP="007B10A1">
            <w:pPr>
              <w:pStyle w:val="hbookbodytext"/>
              <w:rPr>
                <w:color w:val="000000"/>
              </w:rPr>
            </w:pPr>
            <w:r>
              <w:t>1.</w:t>
            </w:r>
            <w:r w:rsidRPr="006C6D94">
              <w:t xml:space="preserve"> </w:t>
            </w:r>
            <w:r w:rsidRPr="006C6D94">
              <w:rPr>
                <w:color w:val="000000"/>
              </w:rPr>
              <w:t xml:space="preserve"> </w:t>
            </w:r>
            <w:proofErr w:type="gramStart"/>
            <w:r w:rsidRPr="006C6D94">
              <w:rPr>
                <w:color w:val="000000"/>
              </w:rPr>
              <w:t>the</w:t>
            </w:r>
            <w:proofErr w:type="gramEnd"/>
            <w:r w:rsidRPr="006C6D94">
              <w:rPr>
                <w:color w:val="000000"/>
              </w:rPr>
              <w:t xml:space="preserve"> writing process</w:t>
            </w:r>
            <w:r>
              <w:rPr>
                <w:color w:val="000000"/>
              </w:rPr>
              <w:t>.</w:t>
            </w:r>
          </w:p>
          <w:p w:rsidR="00E44AD0" w:rsidRPr="006C6D94" w:rsidRDefault="00E44AD0" w:rsidP="007B10A1">
            <w:pPr>
              <w:pStyle w:val="hbookbodytext"/>
              <w:rPr>
                <w:color w:val="000000"/>
              </w:rPr>
            </w:pPr>
            <w:r w:rsidRPr="006C6D94">
              <w:rPr>
                <w:color w:val="000000"/>
              </w:rPr>
              <w:t xml:space="preserve">2.  </w:t>
            </w:r>
            <w:proofErr w:type="gramStart"/>
            <w:r w:rsidRPr="006C6D94">
              <w:rPr>
                <w:color w:val="000000"/>
              </w:rPr>
              <w:t>his</w:t>
            </w:r>
            <w:proofErr w:type="gramEnd"/>
            <w:r w:rsidRPr="006C6D94">
              <w:rPr>
                <w:color w:val="000000"/>
              </w:rPr>
              <w:t>/her self development as a creative writer</w:t>
            </w:r>
            <w:r>
              <w:rPr>
                <w:color w:val="000000"/>
              </w:rPr>
              <w:t>.</w:t>
            </w:r>
          </w:p>
          <w:p w:rsidR="00E44AD0" w:rsidRPr="006C6D94" w:rsidRDefault="00E44AD0" w:rsidP="007B10A1">
            <w:pPr>
              <w:pStyle w:val="hbookbodytext"/>
              <w:rPr>
                <w:color w:val="000000"/>
              </w:rPr>
            </w:pPr>
            <w:r w:rsidRPr="006C6D94">
              <w:rPr>
                <w:color w:val="000000"/>
              </w:rPr>
              <w:t xml:space="preserve">3.  </w:t>
            </w:r>
            <w:proofErr w:type="gramStart"/>
            <w:r w:rsidRPr="006C6D94">
              <w:rPr>
                <w:color w:val="000000"/>
              </w:rPr>
              <w:t>relevant</w:t>
            </w:r>
            <w:proofErr w:type="gramEnd"/>
            <w:r w:rsidRPr="006C6D94">
              <w:rPr>
                <w:color w:val="000000"/>
              </w:rPr>
              <w:t xml:space="preserve"> classic and contemporary texts and writing styles</w:t>
            </w:r>
            <w:r>
              <w:rPr>
                <w:color w:val="000000"/>
              </w:rPr>
              <w:t>.</w:t>
            </w:r>
          </w:p>
          <w:p w:rsidR="00E44AD0" w:rsidRPr="00F71715" w:rsidRDefault="00E44AD0" w:rsidP="007B10A1">
            <w:r w:rsidRPr="006C6D94">
              <w:rPr>
                <w:color w:val="000000"/>
              </w:rPr>
              <w:t xml:space="preserve">4. </w:t>
            </w:r>
            <w:proofErr w:type="gramStart"/>
            <w:r w:rsidRPr="006C6D94">
              <w:rPr>
                <w:color w:val="000000"/>
              </w:rPr>
              <w:t>the</w:t>
            </w:r>
            <w:proofErr w:type="gramEnd"/>
            <w:r w:rsidRPr="006C6D94">
              <w:rPr>
                <w:color w:val="000000"/>
              </w:rPr>
              <w:t xml:space="preserve"> context of contemporary writing practice, markets and audiences</w:t>
            </w:r>
            <w:r>
              <w:t>.</w:t>
            </w:r>
          </w:p>
        </w:tc>
        <w:tc>
          <w:tcPr>
            <w:tcW w:w="3969" w:type="dxa"/>
            <w:tcBorders>
              <w:left w:val="single" w:sz="4" w:space="0" w:color="000000"/>
              <w:bottom w:val="single" w:sz="4" w:space="0" w:color="000000"/>
              <w:right w:val="single" w:sz="4" w:space="0" w:color="000000"/>
            </w:tcBorders>
          </w:tcPr>
          <w:p w:rsidR="00E44AD0" w:rsidRPr="00F71715" w:rsidRDefault="00E44AD0" w:rsidP="007B10A1">
            <w:pPr>
              <w:snapToGrid w:val="0"/>
              <w:rPr>
                <w:b/>
              </w:rPr>
            </w:pPr>
            <w:r w:rsidRPr="00F71715">
              <w:rPr>
                <w:b/>
              </w:rPr>
              <w:t>Teaching/learning methods</w:t>
            </w:r>
          </w:p>
          <w:p w:rsidR="00E44AD0" w:rsidRDefault="00E44AD0" w:rsidP="007B10A1">
            <w:r w:rsidRPr="00F71715">
              <w:t>Students gain knowledge and understanding through</w:t>
            </w:r>
            <w:r>
              <w:t>:</w:t>
            </w:r>
          </w:p>
          <w:p w:rsidR="00E44AD0" w:rsidRDefault="00E44AD0" w:rsidP="007B10A1"/>
          <w:p w:rsidR="00E44AD0" w:rsidRPr="006C6D94" w:rsidRDefault="00E44AD0" w:rsidP="007B10A1">
            <w:pPr>
              <w:pStyle w:val="hbookbodytext"/>
            </w:pPr>
            <w:r w:rsidRPr="00F71715">
              <w:t>Students gain knowledge and understanding through</w:t>
            </w:r>
            <w:r>
              <w:t xml:space="preserve"> </w:t>
            </w:r>
            <w:r w:rsidRPr="006C6D94">
              <w:rPr>
                <w:color w:val="000000"/>
              </w:rPr>
              <w:t>writing exercises, reading, listening, discussing, analysing, re-doing within self-directed learning, tutor and peer feedback, tutorials, tutor-led workshops, project work, guest and staff lectures, peer-group learning and team work.</w:t>
            </w:r>
          </w:p>
          <w:p w:rsidR="00E44AD0" w:rsidRPr="00F71715" w:rsidRDefault="00E44AD0" w:rsidP="007B10A1">
            <w:pPr>
              <w:rPr>
                <w:b/>
              </w:rPr>
            </w:pPr>
            <w:r w:rsidRPr="00F71715">
              <w:rPr>
                <w:b/>
              </w:rPr>
              <w:t>Assessment Method</w:t>
            </w:r>
          </w:p>
          <w:p w:rsidR="00E44AD0" w:rsidRDefault="00E44AD0" w:rsidP="007B10A1">
            <w:pPr>
              <w:pStyle w:val="BodyText3"/>
              <w:spacing w:after="0"/>
              <w:rPr>
                <w:sz w:val="22"/>
              </w:rPr>
            </w:pPr>
            <w:r w:rsidRPr="00F71715">
              <w:rPr>
                <w:sz w:val="22"/>
              </w:rPr>
              <w:t>Students’ knowledge and understanding is assessed by</w:t>
            </w:r>
            <w:r>
              <w:rPr>
                <w:sz w:val="22"/>
              </w:rPr>
              <w:t>:</w:t>
            </w:r>
          </w:p>
          <w:p w:rsidR="00E44AD0" w:rsidRDefault="00E44AD0" w:rsidP="007B10A1">
            <w:pPr>
              <w:pStyle w:val="BodyText3"/>
              <w:spacing w:after="0"/>
              <w:rPr>
                <w:sz w:val="22"/>
              </w:rPr>
            </w:pPr>
          </w:p>
          <w:p w:rsidR="00E44AD0" w:rsidRPr="006C6D94" w:rsidRDefault="00E44AD0" w:rsidP="007B10A1">
            <w:pPr>
              <w:pStyle w:val="hbookbodytext"/>
              <w:rPr>
                <w:color w:val="000000"/>
              </w:rPr>
            </w:pPr>
            <w:r>
              <w:t xml:space="preserve">Students’ knowledge </w:t>
            </w:r>
            <w:r w:rsidRPr="00F71715">
              <w:t>and understanding is assessed by</w:t>
            </w:r>
            <w:r>
              <w:t xml:space="preserve"> </w:t>
            </w:r>
            <w:r w:rsidRPr="006C6D94">
              <w:rPr>
                <w:color w:val="000000"/>
              </w:rPr>
              <w:t xml:space="preserve">a portfolio of the student’s writing, normally including a final creative piece and a critical </w:t>
            </w:r>
            <w:proofErr w:type="gramStart"/>
            <w:r w:rsidRPr="006C6D94">
              <w:rPr>
                <w:color w:val="000000"/>
              </w:rPr>
              <w:t>statement which</w:t>
            </w:r>
            <w:proofErr w:type="gramEnd"/>
            <w:r w:rsidRPr="006C6D94">
              <w:rPr>
                <w:color w:val="000000"/>
              </w:rPr>
              <w:t xml:space="preserve"> makes reference to relevant texts and practice.</w:t>
            </w:r>
          </w:p>
          <w:p w:rsidR="00E44AD0" w:rsidRPr="00877F55" w:rsidRDefault="00E44AD0" w:rsidP="007B10A1">
            <w:pPr>
              <w:pStyle w:val="BodyText3"/>
              <w:spacing w:after="0"/>
              <w:rPr>
                <w:color w:val="000000"/>
                <w:sz w:val="22"/>
                <w:szCs w:val="22"/>
              </w:rPr>
            </w:pPr>
            <w:r w:rsidRPr="004A62A4">
              <w:rPr>
                <w:color w:val="000000"/>
                <w:sz w:val="22"/>
                <w:szCs w:val="22"/>
              </w:rPr>
              <w:t>The portfolio will include drafts and a correctly referenced, annotated bibliography.</w:t>
            </w:r>
          </w:p>
        </w:tc>
      </w:tr>
      <w:tr w:rsidR="00E44AD0" w:rsidRPr="00F71715" w:rsidTr="007B10A1">
        <w:trPr>
          <w:jc w:val="center"/>
        </w:trPr>
        <w:tc>
          <w:tcPr>
            <w:tcW w:w="3686" w:type="dxa"/>
            <w:tcBorders>
              <w:left w:val="single" w:sz="4" w:space="0" w:color="000000"/>
              <w:bottom w:val="single" w:sz="4" w:space="0" w:color="000000"/>
            </w:tcBorders>
          </w:tcPr>
          <w:p w:rsidR="00E44AD0" w:rsidRPr="00F71715" w:rsidRDefault="00E44AD0" w:rsidP="007B10A1">
            <w:pPr>
              <w:snapToGrid w:val="0"/>
              <w:rPr>
                <w:b/>
              </w:rPr>
            </w:pPr>
            <w:r w:rsidRPr="00F71715">
              <w:rPr>
                <w:b/>
              </w:rPr>
              <w:t>B. Cognitive (thinking) skills</w:t>
            </w:r>
          </w:p>
          <w:p w:rsidR="00E44AD0" w:rsidRDefault="00E44AD0" w:rsidP="007B10A1">
            <w:r w:rsidRPr="00F71715">
              <w:t>On completion of this programme the successful student will be able to:</w:t>
            </w:r>
          </w:p>
          <w:p w:rsidR="00E44AD0" w:rsidRDefault="00E44AD0" w:rsidP="007B10A1"/>
          <w:p w:rsidR="00E44AD0" w:rsidRPr="006C6D94" w:rsidRDefault="00E44AD0" w:rsidP="007B10A1">
            <w:pPr>
              <w:pStyle w:val="hbookbodytext"/>
              <w:rPr>
                <w:color w:val="000000"/>
              </w:rPr>
            </w:pPr>
            <w:r w:rsidRPr="006C6D94">
              <w:t>1.</w:t>
            </w:r>
            <w:r w:rsidRPr="006C6D94">
              <w:rPr>
                <w:color w:val="000000"/>
              </w:rPr>
              <w:t xml:space="preserve"> </w:t>
            </w:r>
            <w:proofErr w:type="gramStart"/>
            <w:r w:rsidRPr="006C6D94">
              <w:rPr>
                <w:color w:val="000000"/>
              </w:rPr>
              <w:t>analyse</w:t>
            </w:r>
            <w:proofErr w:type="gramEnd"/>
            <w:r w:rsidRPr="006C6D94">
              <w:rPr>
                <w:color w:val="000000"/>
              </w:rPr>
              <w:t xml:space="preserve"> texts structurally and stylistically</w:t>
            </w:r>
          </w:p>
          <w:p w:rsidR="00E44AD0" w:rsidRPr="006C6D94" w:rsidRDefault="00E44AD0" w:rsidP="007B10A1">
            <w:pPr>
              <w:pStyle w:val="hbookbodytext"/>
              <w:rPr>
                <w:color w:val="000000"/>
              </w:rPr>
            </w:pPr>
            <w:r w:rsidRPr="006C6D94">
              <w:rPr>
                <w:color w:val="000000"/>
              </w:rPr>
              <w:t xml:space="preserve">2. </w:t>
            </w:r>
            <w:proofErr w:type="gramStart"/>
            <w:r w:rsidRPr="006C6D94">
              <w:rPr>
                <w:color w:val="000000"/>
              </w:rPr>
              <w:t>give</w:t>
            </w:r>
            <w:proofErr w:type="gramEnd"/>
            <w:r w:rsidRPr="006C6D94">
              <w:rPr>
                <w:color w:val="000000"/>
              </w:rPr>
              <w:t xml:space="preserve"> and receive critical feedback</w:t>
            </w:r>
          </w:p>
          <w:p w:rsidR="00E44AD0" w:rsidRPr="006C6D94" w:rsidRDefault="00E44AD0" w:rsidP="007B10A1">
            <w:pPr>
              <w:pStyle w:val="hbookbodytext"/>
              <w:rPr>
                <w:color w:val="000000"/>
              </w:rPr>
            </w:pPr>
            <w:r w:rsidRPr="006C6D94">
              <w:rPr>
                <w:color w:val="000000"/>
              </w:rPr>
              <w:t xml:space="preserve">3. </w:t>
            </w:r>
            <w:proofErr w:type="gramStart"/>
            <w:r w:rsidRPr="006C6D94">
              <w:rPr>
                <w:color w:val="000000"/>
              </w:rPr>
              <w:t>evaluate</w:t>
            </w:r>
            <w:proofErr w:type="gramEnd"/>
            <w:r w:rsidRPr="006C6D94">
              <w:rPr>
                <w:color w:val="000000"/>
              </w:rPr>
              <w:t xml:space="preserve">, re-draft and edit their own work </w:t>
            </w:r>
          </w:p>
          <w:p w:rsidR="00E44AD0" w:rsidRPr="00877F55" w:rsidRDefault="00E44AD0" w:rsidP="007B10A1">
            <w:pPr>
              <w:pStyle w:val="hbookbodytext"/>
              <w:rPr>
                <w:color w:val="000000"/>
              </w:rPr>
            </w:pPr>
            <w:r w:rsidRPr="006C6D94">
              <w:rPr>
                <w:color w:val="000000"/>
              </w:rPr>
              <w:t xml:space="preserve">4. </w:t>
            </w:r>
            <w:proofErr w:type="gramStart"/>
            <w:r w:rsidRPr="006C6D94">
              <w:rPr>
                <w:color w:val="000000"/>
              </w:rPr>
              <w:t>conceive</w:t>
            </w:r>
            <w:proofErr w:type="gramEnd"/>
            <w:r w:rsidRPr="006C6D94">
              <w:rPr>
                <w:color w:val="000000"/>
              </w:rPr>
              <w:t>, plan and develop a structured piece of written work</w:t>
            </w:r>
          </w:p>
        </w:tc>
        <w:tc>
          <w:tcPr>
            <w:tcW w:w="3969" w:type="dxa"/>
            <w:tcBorders>
              <w:left w:val="single" w:sz="4" w:space="0" w:color="000000"/>
              <w:bottom w:val="single" w:sz="4" w:space="0" w:color="000000"/>
              <w:right w:val="single" w:sz="4" w:space="0" w:color="000000"/>
            </w:tcBorders>
          </w:tcPr>
          <w:p w:rsidR="00E44AD0" w:rsidRDefault="00E44AD0" w:rsidP="007B10A1">
            <w:pPr>
              <w:snapToGrid w:val="0"/>
              <w:rPr>
                <w:b/>
              </w:rPr>
            </w:pPr>
            <w:r w:rsidRPr="00F71715">
              <w:rPr>
                <w:b/>
              </w:rPr>
              <w:t>Teaching/learning methods</w:t>
            </w:r>
          </w:p>
          <w:p w:rsidR="00E44AD0" w:rsidRPr="006C6D94" w:rsidRDefault="00E44AD0" w:rsidP="007B10A1">
            <w:pPr>
              <w:pStyle w:val="hbookbodytext"/>
              <w:rPr>
                <w:color w:val="000000"/>
              </w:rPr>
            </w:pPr>
            <w:r w:rsidRPr="00F71715">
              <w:t>Students learn cognitive skills through</w:t>
            </w:r>
            <w:r>
              <w:t xml:space="preserve"> </w:t>
            </w:r>
            <w:r w:rsidRPr="006C6D94">
              <w:rPr>
                <w:color w:val="000000"/>
              </w:rPr>
              <w:t>individual practice, tutorials, tutor-led workshops, reading, discussion, group work and contact with practising writers.</w:t>
            </w:r>
          </w:p>
          <w:p w:rsidR="00E44AD0" w:rsidRDefault="00E44AD0" w:rsidP="007B10A1">
            <w:pPr>
              <w:rPr>
                <w:b/>
              </w:rPr>
            </w:pPr>
          </w:p>
          <w:p w:rsidR="00E44AD0" w:rsidRDefault="00E44AD0" w:rsidP="007B10A1">
            <w:pPr>
              <w:rPr>
                <w:b/>
              </w:rPr>
            </w:pPr>
          </w:p>
          <w:p w:rsidR="00E44AD0" w:rsidRDefault="00E44AD0" w:rsidP="007B10A1">
            <w:pPr>
              <w:rPr>
                <w:b/>
              </w:rPr>
            </w:pPr>
          </w:p>
          <w:p w:rsidR="00E44AD0" w:rsidRDefault="00E44AD0" w:rsidP="007B10A1">
            <w:pPr>
              <w:rPr>
                <w:b/>
              </w:rPr>
            </w:pPr>
            <w:r w:rsidRPr="00F71715">
              <w:rPr>
                <w:b/>
              </w:rPr>
              <w:t>Assessment Method</w:t>
            </w:r>
          </w:p>
          <w:p w:rsidR="00E44AD0" w:rsidRPr="00877F55" w:rsidRDefault="00E44AD0" w:rsidP="007B10A1">
            <w:pPr>
              <w:rPr>
                <w:b/>
              </w:rPr>
            </w:pPr>
            <w:proofErr w:type="gramStart"/>
            <w:r w:rsidRPr="00F71715">
              <w:t>Students’ cognitive skills are assessed by</w:t>
            </w:r>
            <w:r>
              <w:t xml:space="preserve"> </w:t>
            </w:r>
            <w:r w:rsidRPr="006C6D94">
              <w:rPr>
                <w:color w:val="000000"/>
              </w:rPr>
              <w:t>original creative work and a critical statement examining process and context, including drafts and bibliography</w:t>
            </w:r>
            <w:proofErr w:type="gramEnd"/>
            <w:r w:rsidRPr="006C6D94">
              <w:rPr>
                <w:color w:val="000000"/>
              </w:rPr>
              <w:t>.</w:t>
            </w:r>
          </w:p>
        </w:tc>
      </w:tr>
      <w:tr w:rsidR="00E44AD0" w:rsidRPr="00F71715" w:rsidTr="007B10A1">
        <w:trPr>
          <w:jc w:val="center"/>
        </w:trPr>
        <w:tc>
          <w:tcPr>
            <w:tcW w:w="3686" w:type="dxa"/>
            <w:tcBorders>
              <w:left w:val="single" w:sz="4" w:space="0" w:color="000000"/>
              <w:bottom w:val="single" w:sz="4" w:space="0" w:color="000000"/>
            </w:tcBorders>
          </w:tcPr>
          <w:p w:rsidR="00E44AD0" w:rsidRPr="00F71715" w:rsidRDefault="00E44AD0" w:rsidP="007B10A1">
            <w:pPr>
              <w:snapToGrid w:val="0"/>
              <w:rPr>
                <w:b/>
              </w:rPr>
            </w:pPr>
            <w:r w:rsidRPr="00F71715">
              <w:rPr>
                <w:b/>
              </w:rPr>
              <w:t>C. Practical skills</w:t>
            </w:r>
          </w:p>
          <w:p w:rsidR="00E44AD0" w:rsidRDefault="00E44AD0" w:rsidP="007B10A1">
            <w:r w:rsidRPr="00F71715">
              <w:t>On completion of the programme the successful student will be able to:</w:t>
            </w:r>
            <w:r>
              <w:t xml:space="preserve"> </w:t>
            </w:r>
          </w:p>
          <w:p w:rsidR="00E44AD0" w:rsidRDefault="00E44AD0" w:rsidP="007B10A1">
            <w:pPr>
              <w:pStyle w:val="hbookbodytext"/>
            </w:pPr>
          </w:p>
          <w:p w:rsidR="00E44AD0" w:rsidRPr="006C6D94" w:rsidRDefault="00E44AD0" w:rsidP="007B10A1">
            <w:pPr>
              <w:pStyle w:val="hbookbodytext"/>
              <w:rPr>
                <w:color w:val="000000"/>
              </w:rPr>
            </w:pPr>
            <w:r w:rsidRPr="006C6D94">
              <w:t>1.</w:t>
            </w:r>
            <w:r w:rsidRPr="006C6D94">
              <w:rPr>
                <w:color w:val="000000"/>
              </w:rPr>
              <w:t xml:space="preserve"> </w:t>
            </w:r>
            <w:proofErr w:type="gramStart"/>
            <w:r w:rsidRPr="006C6D94">
              <w:rPr>
                <w:color w:val="000000"/>
              </w:rPr>
              <w:t>write</w:t>
            </w:r>
            <w:proofErr w:type="gramEnd"/>
            <w:r w:rsidRPr="006C6D94">
              <w:rPr>
                <w:color w:val="000000"/>
              </w:rPr>
              <w:t xml:space="preserve"> in a range of forms and genres.</w:t>
            </w:r>
          </w:p>
          <w:p w:rsidR="00E44AD0" w:rsidRPr="006C6D94" w:rsidRDefault="00E44AD0" w:rsidP="007B10A1">
            <w:pPr>
              <w:pStyle w:val="hbookbodytext"/>
              <w:rPr>
                <w:color w:val="000000"/>
              </w:rPr>
            </w:pPr>
            <w:r w:rsidRPr="006C6D94">
              <w:rPr>
                <w:color w:val="000000"/>
              </w:rPr>
              <w:t xml:space="preserve">2.  </w:t>
            </w:r>
            <w:proofErr w:type="gramStart"/>
            <w:r w:rsidRPr="006C6D94">
              <w:rPr>
                <w:color w:val="000000"/>
              </w:rPr>
              <w:t>research</w:t>
            </w:r>
            <w:proofErr w:type="gramEnd"/>
            <w:r w:rsidRPr="006C6D94">
              <w:rPr>
                <w:color w:val="000000"/>
              </w:rPr>
              <w:t xml:space="preserve"> from a range of sources, </w:t>
            </w:r>
            <w:r>
              <w:rPr>
                <w:color w:val="000000"/>
              </w:rPr>
              <w:t xml:space="preserve">   </w:t>
            </w:r>
            <w:r w:rsidRPr="006C6D94">
              <w:rPr>
                <w:color w:val="000000"/>
              </w:rPr>
              <w:t>primary and secondary, text and IT based</w:t>
            </w:r>
          </w:p>
          <w:p w:rsidR="00E44AD0" w:rsidRPr="006C6D94" w:rsidRDefault="00E44AD0" w:rsidP="007B10A1">
            <w:pPr>
              <w:pStyle w:val="hbookbodytext"/>
              <w:rPr>
                <w:color w:val="000000"/>
              </w:rPr>
            </w:pPr>
            <w:r w:rsidRPr="006C6D94">
              <w:rPr>
                <w:color w:val="000000"/>
              </w:rPr>
              <w:t xml:space="preserve">3. </w:t>
            </w:r>
            <w:proofErr w:type="gramStart"/>
            <w:r w:rsidRPr="006C6D94">
              <w:rPr>
                <w:color w:val="000000"/>
              </w:rPr>
              <w:t>acquire</w:t>
            </w:r>
            <w:proofErr w:type="gramEnd"/>
            <w:r w:rsidRPr="006C6D94">
              <w:rPr>
                <w:color w:val="000000"/>
              </w:rPr>
              <w:t xml:space="preserve"> editorial skills</w:t>
            </w:r>
          </w:p>
          <w:p w:rsidR="00E44AD0" w:rsidRPr="00877F55" w:rsidRDefault="00E44AD0" w:rsidP="007B10A1">
            <w:pPr>
              <w:pStyle w:val="hbookbodytext"/>
              <w:rPr>
                <w:color w:val="000000"/>
              </w:rPr>
            </w:pPr>
            <w:r w:rsidRPr="006C6D94">
              <w:rPr>
                <w:color w:val="000000"/>
              </w:rPr>
              <w:t>4.</w:t>
            </w:r>
            <w:r>
              <w:rPr>
                <w:color w:val="000000"/>
              </w:rPr>
              <w:t xml:space="preserve"> </w:t>
            </w:r>
            <w:proofErr w:type="gramStart"/>
            <w:r>
              <w:rPr>
                <w:color w:val="000000"/>
              </w:rPr>
              <w:t>make</w:t>
            </w:r>
            <w:proofErr w:type="gramEnd"/>
            <w:r>
              <w:rPr>
                <w:color w:val="000000"/>
              </w:rPr>
              <w:t xml:space="preserve"> pitches and presentations</w:t>
            </w:r>
          </w:p>
        </w:tc>
        <w:tc>
          <w:tcPr>
            <w:tcW w:w="3969" w:type="dxa"/>
            <w:tcBorders>
              <w:left w:val="single" w:sz="4" w:space="0" w:color="000000"/>
              <w:bottom w:val="single" w:sz="4" w:space="0" w:color="000000"/>
              <w:right w:val="single" w:sz="4" w:space="0" w:color="000000"/>
            </w:tcBorders>
          </w:tcPr>
          <w:p w:rsidR="00E44AD0" w:rsidRPr="00F71715" w:rsidRDefault="00E44AD0" w:rsidP="007B10A1">
            <w:pPr>
              <w:snapToGrid w:val="0"/>
              <w:rPr>
                <w:b/>
              </w:rPr>
            </w:pPr>
            <w:r w:rsidRPr="00F71715">
              <w:rPr>
                <w:b/>
              </w:rPr>
              <w:t>Teaching/learning methods</w:t>
            </w:r>
          </w:p>
          <w:p w:rsidR="00E44AD0" w:rsidRDefault="00E44AD0" w:rsidP="007B10A1">
            <w:r w:rsidRPr="00F71715">
              <w:t>Students learn practical skills through</w:t>
            </w:r>
            <w:r>
              <w:t xml:space="preserve"> </w:t>
            </w:r>
            <w:r w:rsidRPr="006C6D94">
              <w:t>workshops, practical exercises, sharing of work, editing of their own and others’ work, discussion of good and bad practice, visiting speakers.</w:t>
            </w:r>
          </w:p>
          <w:p w:rsidR="00E44AD0" w:rsidRPr="00F71715" w:rsidRDefault="00E44AD0" w:rsidP="007B10A1"/>
          <w:p w:rsidR="00E44AD0" w:rsidRPr="00F71715" w:rsidRDefault="00E44AD0" w:rsidP="007B10A1">
            <w:pPr>
              <w:rPr>
                <w:b/>
              </w:rPr>
            </w:pPr>
            <w:r w:rsidRPr="00F71715">
              <w:rPr>
                <w:b/>
              </w:rPr>
              <w:t>Assessment Method</w:t>
            </w:r>
          </w:p>
          <w:p w:rsidR="00E44AD0" w:rsidRPr="00F71715" w:rsidRDefault="00E44AD0" w:rsidP="007B10A1">
            <w:r w:rsidRPr="00F71715">
              <w:t>Students’ practical skills are assessed by</w:t>
            </w:r>
            <w:r>
              <w:t xml:space="preserve"> </w:t>
            </w:r>
            <w:r w:rsidRPr="006C6D94">
              <w:rPr>
                <w:color w:val="000000"/>
              </w:rPr>
              <w:t>written and/or oral presentations, which demonstrate their ability to apply these skills in the development of coursework projects.</w:t>
            </w:r>
          </w:p>
        </w:tc>
      </w:tr>
      <w:tr w:rsidR="00E44AD0" w:rsidRPr="00F71715" w:rsidTr="007B10A1">
        <w:trPr>
          <w:jc w:val="center"/>
        </w:trPr>
        <w:tc>
          <w:tcPr>
            <w:tcW w:w="3686" w:type="dxa"/>
            <w:tcBorders>
              <w:left w:val="single" w:sz="4" w:space="0" w:color="000000"/>
              <w:bottom w:val="single" w:sz="4" w:space="0" w:color="000000"/>
            </w:tcBorders>
          </w:tcPr>
          <w:p w:rsidR="00E44AD0" w:rsidRPr="00F71715" w:rsidRDefault="00E44AD0" w:rsidP="007B10A1">
            <w:pPr>
              <w:snapToGrid w:val="0"/>
              <w:rPr>
                <w:b/>
              </w:rPr>
            </w:pPr>
            <w:r w:rsidRPr="00F71715">
              <w:rPr>
                <w:b/>
              </w:rPr>
              <w:t>D. Graduate Skills</w:t>
            </w:r>
          </w:p>
          <w:p w:rsidR="00E44AD0" w:rsidRPr="00F71715" w:rsidRDefault="00E44AD0" w:rsidP="007B10A1">
            <w:r w:rsidRPr="00F71715">
              <w:t>On completion of this programme the successful student will be able to:</w:t>
            </w:r>
          </w:p>
          <w:p w:rsidR="00E44AD0" w:rsidRPr="006C6D94" w:rsidRDefault="00E44AD0" w:rsidP="007B10A1">
            <w:pPr>
              <w:pStyle w:val="hbookbodytext"/>
              <w:rPr>
                <w:color w:val="000000"/>
              </w:rPr>
            </w:pPr>
            <w:r w:rsidRPr="006C6D94">
              <w:t>1.</w:t>
            </w:r>
            <w:r w:rsidRPr="006C6D94">
              <w:rPr>
                <w:color w:val="000000"/>
              </w:rPr>
              <w:t xml:space="preserve">  </w:t>
            </w:r>
            <w:proofErr w:type="gramStart"/>
            <w:r w:rsidRPr="006C6D94">
              <w:rPr>
                <w:color w:val="000000"/>
              </w:rPr>
              <w:t>further</w:t>
            </w:r>
            <w:proofErr w:type="gramEnd"/>
            <w:r w:rsidRPr="006C6D94">
              <w:rPr>
                <w:color w:val="000000"/>
              </w:rPr>
              <w:t xml:space="preserve"> their own personal and career development</w:t>
            </w:r>
          </w:p>
          <w:p w:rsidR="00E44AD0" w:rsidRPr="006C6D94" w:rsidRDefault="00E44AD0" w:rsidP="007B10A1">
            <w:pPr>
              <w:pStyle w:val="hbookbodytext"/>
              <w:rPr>
                <w:color w:val="000000"/>
              </w:rPr>
            </w:pPr>
            <w:r w:rsidRPr="006C6D94">
              <w:rPr>
                <w:color w:val="000000"/>
              </w:rPr>
              <w:t xml:space="preserve">2. </w:t>
            </w:r>
            <w:proofErr w:type="gramStart"/>
            <w:r w:rsidRPr="006C6D94">
              <w:rPr>
                <w:color w:val="000000"/>
              </w:rPr>
              <w:t>take</w:t>
            </w:r>
            <w:proofErr w:type="gramEnd"/>
            <w:r w:rsidRPr="006C6D94">
              <w:rPr>
                <w:color w:val="000000"/>
              </w:rPr>
              <w:t xml:space="preserve"> responsibility for effective learning, </w:t>
            </w:r>
          </w:p>
          <w:p w:rsidR="00E44AD0" w:rsidRPr="006C6D94" w:rsidRDefault="00E44AD0" w:rsidP="007B10A1">
            <w:pPr>
              <w:pStyle w:val="hbookbodytext"/>
              <w:rPr>
                <w:color w:val="000000"/>
              </w:rPr>
            </w:pPr>
            <w:r w:rsidRPr="006C6D94">
              <w:rPr>
                <w:color w:val="000000"/>
              </w:rPr>
              <w:t xml:space="preserve">3. </w:t>
            </w:r>
            <w:proofErr w:type="gramStart"/>
            <w:r w:rsidRPr="006C6D94">
              <w:rPr>
                <w:color w:val="000000"/>
              </w:rPr>
              <w:t>communicate</w:t>
            </w:r>
            <w:proofErr w:type="gramEnd"/>
            <w:r w:rsidRPr="006C6D94">
              <w:rPr>
                <w:color w:val="000000"/>
              </w:rPr>
              <w:t xml:space="preserve"> effectively, orally and in writing</w:t>
            </w:r>
          </w:p>
          <w:p w:rsidR="00E44AD0" w:rsidRPr="006C6D94" w:rsidRDefault="00E44AD0" w:rsidP="007B10A1">
            <w:pPr>
              <w:pStyle w:val="hbookbodytext"/>
              <w:rPr>
                <w:color w:val="000000"/>
              </w:rPr>
            </w:pPr>
            <w:r w:rsidRPr="006C6D94">
              <w:rPr>
                <w:color w:val="000000"/>
              </w:rPr>
              <w:t xml:space="preserve">4. </w:t>
            </w:r>
            <w:proofErr w:type="gramStart"/>
            <w:r w:rsidRPr="006C6D94">
              <w:rPr>
                <w:color w:val="000000"/>
              </w:rPr>
              <w:t>work</w:t>
            </w:r>
            <w:proofErr w:type="gramEnd"/>
            <w:r w:rsidRPr="006C6D94">
              <w:rPr>
                <w:color w:val="000000"/>
              </w:rPr>
              <w:t xml:space="preserve"> as a member of a team</w:t>
            </w:r>
          </w:p>
          <w:p w:rsidR="00E44AD0" w:rsidRPr="006C6D94" w:rsidRDefault="00E44AD0" w:rsidP="007B10A1">
            <w:pPr>
              <w:pStyle w:val="hbookbodytext"/>
              <w:rPr>
                <w:color w:val="000000"/>
              </w:rPr>
            </w:pPr>
            <w:r w:rsidRPr="006C6D94">
              <w:rPr>
                <w:color w:val="000000"/>
              </w:rPr>
              <w:t xml:space="preserve">5. </w:t>
            </w:r>
            <w:proofErr w:type="gramStart"/>
            <w:r w:rsidRPr="006C6D94">
              <w:rPr>
                <w:color w:val="000000"/>
              </w:rPr>
              <w:t>use</w:t>
            </w:r>
            <w:proofErr w:type="gramEnd"/>
            <w:r w:rsidRPr="006C6D94">
              <w:rPr>
                <w:color w:val="000000"/>
              </w:rPr>
              <w:t xml:space="preserve"> relevant Information Technology and be numerate, as appropriate to field of study</w:t>
            </w:r>
          </w:p>
          <w:p w:rsidR="00E44AD0" w:rsidRPr="00F71715" w:rsidRDefault="00E44AD0" w:rsidP="007B10A1">
            <w:r w:rsidRPr="006C6D94">
              <w:rPr>
                <w:color w:val="000000"/>
              </w:rPr>
              <w:t xml:space="preserve">6. </w:t>
            </w:r>
            <w:proofErr w:type="gramStart"/>
            <w:r w:rsidRPr="006C6D94">
              <w:rPr>
                <w:color w:val="000000"/>
              </w:rPr>
              <w:t>generate</w:t>
            </w:r>
            <w:proofErr w:type="gramEnd"/>
            <w:r w:rsidRPr="006C6D94">
              <w:rPr>
                <w:color w:val="000000"/>
              </w:rPr>
              <w:t xml:space="preserve"> imaginative ideas and see them through to fruition.</w:t>
            </w:r>
          </w:p>
        </w:tc>
        <w:tc>
          <w:tcPr>
            <w:tcW w:w="3969" w:type="dxa"/>
            <w:tcBorders>
              <w:left w:val="single" w:sz="4" w:space="0" w:color="000000"/>
              <w:bottom w:val="single" w:sz="4" w:space="0" w:color="000000"/>
              <w:right w:val="single" w:sz="4" w:space="0" w:color="000000"/>
            </w:tcBorders>
          </w:tcPr>
          <w:p w:rsidR="00E44AD0" w:rsidRPr="00F71715" w:rsidRDefault="00E44AD0" w:rsidP="007B10A1">
            <w:pPr>
              <w:snapToGrid w:val="0"/>
              <w:rPr>
                <w:b/>
              </w:rPr>
            </w:pPr>
            <w:r w:rsidRPr="00F71715">
              <w:rPr>
                <w:b/>
              </w:rPr>
              <w:t>Teaching/learning methods</w:t>
            </w:r>
          </w:p>
          <w:p w:rsidR="00E44AD0" w:rsidRPr="006C6D94" w:rsidRDefault="00E44AD0" w:rsidP="007B10A1">
            <w:pPr>
              <w:pStyle w:val="hbookbodytext"/>
              <w:rPr>
                <w:color w:val="000000"/>
              </w:rPr>
            </w:pPr>
            <w:r w:rsidRPr="00F71715">
              <w:t>Students acquire graduate skills through</w:t>
            </w:r>
            <w:r>
              <w:t xml:space="preserve"> </w:t>
            </w:r>
            <w:r w:rsidRPr="006C6D94">
              <w:rPr>
                <w:color w:val="000000"/>
              </w:rPr>
              <w:t xml:space="preserve">the tutor led </w:t>
            </w:r>
            <w:proofErr w:type="gramStart"/>
            <w:r w:rsidRPr="006C6D94">
              <w:rPr>
                <w:color w:val="000000"/>
              </w:rPr>
              <w:t>workshops,</w:t>
            </w:r>
            <w:proofErr w:type="gramEnd"/>
            <w:r w:rsidRPr="006C6D94">
              <w:rPr>
                <w:color w:val="000000"/>
              </w:rPr>
              <w:t xml:space="preserve"> feedback, self-directed learning and group work which leads up to assessed coursework.</w:t>
            </w:r>
          </w:p>
          <w:p w:rsidR="00E44AD0" w:rsidRDefault="00E44AD0" w:rsidP="007B10A1">
            <w:pPr>
              <w:rPr>
                <w:b/>
              </w:rPr>
            </w:pPr>
          </w:p>
          <w:p w:rsidR="00E44AD0" w:rsidRPr="00F71715" w:rsidRDefault="00E44AD0" w:rsidP="007B10A1">
            <w:pPr>
              <w:rPr>
                <w:b/>
              </w:rPr>
            </w:pPr>
            <w:r w:rsidRPr="00F71715">
              <w:rPr>
                <w:b/>
              </w:rPr>
              <w:t>Assessment method</w:t>
            </w:r>
          </w:p>
          <w:p w:rsidR="00E44AD0" w:rsidRPr="00F71715" w:rsidRDefault="00E44AD0" w:rsidP="007B10A1">
            <w:pPr>
              <w:pStyle w:val="hbookbodytext"/>
            </w:pPr>
            <w:r w:rsidRPr="00F71715">
              <w:t>Students’ graduate skills are assessed by</w:t>
            </w:r>
            <w:r>
              <w:t xml:space="preserve"> </w:t>
            </w:r>
            <w:r w:rsidRPr="006C6D94">
              <w:rPr>
                <w:color w:val="000000"/>
              </w:rPr>
              <w:t>written projects and oral presentations.</w:t>
            </w:r>
          </w:p>
          <w:p w:rsidR="00E44AD0" w:rsidRPr="00F71715" w:rsidRDefault="00E44AD0" w:rsidP="007B10A1"/>
        </w:tc>
      </w:tr>
      <w:tr w:rsidR="00E44AD0" w:rsidRPr="00F71715" w:rsidTr="007B10A1">
        <w:trPr>
          <w:trHeight w:val="404"/>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FDFDF"/>
          </w:tcPr>
          <w:p w:rsidR="00E44AD0" w:rsidRPr="00F71715" w:rsidRDefault="00E44AD0" w:rsidP="007B10A1">
            <w:pPr>
              <w:snapToGrid w:val="0"/>
              <w:rPr>
                <w:b/>
              </w:rPr>
            </w:pPr>
            <w:r w:rsidRPr="00F71715">
              <w:rPr>
                <w:b/>
              </w:rPr>
              <w:t>12. Programme structure (levels, modules, credits and progression requirements)</w:t>
            </w:r>
          </w:p>
        </w:tc>
      </w:tr>
      <w:tr w:rsidR="00E44AD0" w:rsidRPr="00F71715" w:rsidTr="007B10A1">
        <w:trPr>
          <w:trHeight w:val="386"/>
          <w:jc w:val="center"/>
        </w:trPr>
        <w:tc>
          <w:tcPr>
            <w:tcW w:w="7655" w:type="dxa"/>
            <w:gridSpan w:val="2"/>
            <w:tcBorders>
              <w:left w:val="single" w:sz="4" w:space="0" w:color="000000"/>
              <w:right w:val="single" w:sz="4" w:space="0" w:color="000000"/>
            </w:tcBorders>
            <w:shd w:val="clear" w:color="auto" w:fill="DFDFDF"/>
          </w:tcPr>
          <w:p w:rsidR="00E44AD0" w:rsidRPr="00F71715" w:rsidRDefault="00E44AD0" w:rsidP="007B10A1">
            <w:pPr>
              <w:snapToGrid w:val="0"/>
              <w:rPr>
                <w:b/>
              </w:rPr>
            </w:pPr>
            <w:r w:rsidRPr="00F71715">
              <w:rPr>
                <w:b/>
              </w:rPr>
              <w:t>12. 1 Overall structure of the programme</w:t>
            </w:r>
          </w:p>
        </w:tc>
      </w:tr>
      <w:tr w:rsidR="00E44AD0" w:rsidRPr="00F71715" w:rsidTr="007B10A1">
        <w:trPr>
          <w:trHeight w:val="80"/>
          <w:jc w:val="center"/>
        </w:trPr>
        <w:tc>
          <w:tcPr>
            <w:tcW w:w="7655" w:type="dxa"/>
            <w:gridSpan w:val="2"/>
            <w:tcBorders>
              <w:left w:val="single" w:sz="4" w:space="0" w:color="000000"/>
              <w:bottom w:val="single" w:sz="4" w:space="0" w:color="000000"/>
              <w:right w:val="single" w:sz="4" w:space="0" w:color="000000"/>
            </w:tcBorders>
          </w:tcPr>
          <w:p w:rsidR="00E44AD0" w:rsidRPr="006C6D94" w:rsidRDefault="00E44AD0" w:rsidP="007B10A1">
            <w:pPr>
              <w:pStyle w:val="hbookbodytext"/>
              <w:jc w:val="both"/>
              <w:rPr>
                <w:color w:val="000000"/>
              </w:rPr>
            </w:pPr>
            <w:r w:rsidRPr="006C6D94">
              <w:rPr>
                <w:color w:val="000000"/>
              </w:rPr>
              <w:t xml:space="preserve">The programme is normally studied over three years full-time or completed within six years part time. </w:t>
            </w:r>
            <w:r w:rsidRPr="006C6D94">
              <w:t xml:space="preserve">The honours degree requires 360 credits at Level 1 and above, of which 250 credits are at Level 2 or above and 120 credits at Level 3. </w:t>
            </w:r>
            <w:r w:rsidRPr="006C6D94">
              <w:rPr>
                <w:color w:val="000000"/>
              </w:rPr>
              <w:t xml:space="preserve"> Details below are for a full-time student.</w:t>
            </w:r>
          </w:p>
          <w:p w:rsidR="00E44AD0" w:rsidRPr="006C6D94" w:rsidRDefault="00E44AD0" w:rsidP="007B10A1">
            <w:pPr>
              <w:pStyle w:val="hbookbodytext"/>
              <w:jc w:val="both"/>
            </w:pPr>
            <w:r w:rsidRPr="006C6D94">
              <w:t xml:space="preserve">BA Creative and Media Writing is structured as follows: </w:t>
            </w:r>
          </w:p>
          <w:p w:rsidR="00E44AD0" w:rsidRPr="006C6D94" w:rsidRDefault="00E44AD0" w:rsidP="007B10A1"/>
          <w:p w:rsidR="00E44AD0" w:rsidRPr="006C6D94" w:rsidRDefault="00E44AD0" w:rsidP="007B10A1">
            <w:pPr>
              <w:rPr>
                <w:b/>
              </w:rPr>
            </w:pPr>
            <w:r w:rsidRPr="006C6D94">
              <w:rPr>
                <w:b/>
              </w:rPr>
              <w:t>Year One – all compulsory</w:t>
            </w:r>
          </w:p>
          <w:p w:rsidR="00E44AD0" w:rsidRPr="006C6D94" w:rsidRDefault="00E44AD0" w:rsidP="007B10A1"/>
          <w:p w:rsidR="00E44AD0" w:rsidRPr="00877F55" w:rsidRDefault="00E44AD0" w:rsidP="00E44AD0">
            <w:pPr>
              <w:numPr>
                <w:ilvl w:val="0"/>
                <w:numId w:val="2"/>
              </w:numPr>
            </w:pPr>
            <w:r w:rsidRPr="00877F55">
              <w:t>CMW1001 Introduction to Writing A: Fiction and Poetry (30 credits)</w:t>
            </w:r>
          </w:p>
          <w:p w:rsidR="00E44AD0" w:rsidRPr="00877F55" w:rsidRDefault="00E44AD0" w:rsidP="00E44AD0">
            <w:pPr>
              <w:numPr>
                <w:ilvl w:val="0"/>
                <w:numId w:val="2"/>
              </w:numPr>
            </w:pPr>
            <w:r w:rsidRPr="00877F55">
              <w:t>CMW1002 Introduction to Writing B: Drama and Non-Fiction (30 credits)</w:t>
            </w:r>
          </w:p>
          <w:p w:rsidR="00E44AD0" w:rsidRPr="00877F55" w:rsidRDefault="00E44AD0" w:rsidP="00E44AD0">
            <w:pPr>
              <w:numPr>
                <w:ilvl w:val="0"/>
                <w:numId w:val="2"/>
              </w:numPr>
            </w:pPr>
            <w:r w:rsidRPr="00877F55">
              <w:t>MDA1800 Storytelling for the Screen (30 credits)</w:t>
            </w:r>
          </w:p>
          <w:p w:rsidR="00E44AD0" w:rsidRPr="00877F55" w:rsidRDefault="00E44AD0" w:rsidP="00E44AD0">
            <w:pPr>
              <w:numPr>
                <w:ilvl w:val="0"/>
                <w:numId w:val="2"/>
              </w:numPr>
            </w:pPr>
            <w:r w:rsidRPr="00877F55">
              <w:t xml:space="preserve">ELS1302 Reading Contemporary Literature (30 credits) </w:t>
            </w:r>
          </w:p>
          <w:p w:rsidR="00E44AD0" w:rsidRPr="00AC5C92" w:rsidRDefault="00E44AD0" w:rsidP="007B10A1"/>
          <w:p w:rsidR="00E44AD0" w:rsidRPr="00AC5C92" w:rsidRDefault="00E44AD0" w:rsidP="007B10A1">
            <w:pPr>
              <w:rPr>
                <w:b/>
              </w:rPr>
            </w:pPr>
            <w:r w:rsidRPr="00AC5C92">
              <w:rPr>
                <w:b/>
              </w:rPr>
              <w:t>Year Two</w:t>
            </w:r>
          </w:p>
          <w:p w:rsidR="00E44AD0" w:rsidRPr="00AC5C92" w:rsidRDefault="00E44AD0" w:rsidP="007B10A1">
            <w:r>
              <w:rPr>
                <w:b/>
              </w:rPr>
              <w:t>6</w:t>
            </w:r>
            <w:r w:rsidRPr="00AC5C92">
              <w:rPr>
                <w:b/>
              </w:rPr>
              <w:t>0 credits Compulsory:</w:t>
            </w:r>
          </w:p>
          <w:p w:rsidR="00E44AD0" w:rsidRPr="00877F55" w:rsidRDefault="00E44AD0" w:rsidP="007B10A1"/>
          <w:p w:rsidR="00E44AD0" w:rsidRPr="00877F55" w:rsidRDefault="00E44AD0" w:rsidP="00E44AD0">
            <w:pPr>
              <w:numPr>
                <w:ilvl w:val="0"/>
                <w:numId w:val="3"/>
              </w:numPr>
            </w:pPr>
            <w:r w:rsidRPr="00877F55">
              <w:t>CMW2002 Exploring Writing B: Fiction (30 credits)</w:t>
            </w:r>
          </w:p>
          <w:p w:rsidR="00E44AD0" w:rsidRDefault="00E44AD0" w:rsidP="00E44AD0">
            <w:pPr>
              <w:numPr>
                <w:ilvl w:val="0"/>
                <w:numId w:val="3"/>
              </w:numPr>
            </w:pPr>
            <w:r w:rsidRPr="00877F55">
              <w:t>MDA2100 Screenwriting – The Short Film (30 credits)</w:t>
            </w:r>
          </w:p>
          <w:p w:rsidR="00E44AD0" w:rsidRDefault="00E44AD0" w:rsidP="007B10A1">
            <w:pPr>
              <w:rPr>
                <w:b/>
              </w:rPr>
            </w:pPr>
          </w:p>
          <w:p w:rsidR="00E44AD0" w:rsidRDefault="00E44AD0" w:rsidP="007B10A1">
            <w:pPr>
              <w:rPr>
                <w:b/>
              </w:rPr>
            </w:pPr>
            <w:r>
              <w:rPr>
                <w:b/>
              </w:rPr>
              <w:t>Choice of 6</w:t>
            </w:r>
            <w:r w:rsidRPr="006C6D94">
              <w:rPr>
                <w:b/>
              </w:rPr>
              <w:t xml:space="preserve">0 credits from: </w:t>
            </w:r>
          </w:p>
          <w:p w:rsidR="00E44AD0" w:rsidRPr="00877F55" w:rsidRDefault="00E44AD0" w:rsidP="007B10A1">
            <w:pPr>
              <w:rPr>
                <w:b/>
              </w:rPr>
            </w:pPr>
          </w:p>
          <w:p w:rsidR="00E44AD0" w:rsidRPr="00877F55" w:rsidRDefault="00E44AD0" w:rsidP="00E44AD0">
            <w:pPr>
              <w:numPr>
                <w:ilvl w:val="0"/>
                <w:numId w:val="3"/>
              </w:numPr>
              <w:suppressAutoHyphens w:val="0"/>
              <w:jc w:val="both"/>
              <w:rPr>
                <w:lang w:val="en-US"/>
              </w:rPr>
            </w:pPr>
            <w:r w:rsidRPr="00877F55">
              <w:rPr>
                <w:lang w:val="en-US"/>
              </w:rPr>
              <w:t xml:space="preserve">CMW 3004 Writing and Publishing for Children (30 credits) </w:t>
            </w:r>
          </w:p>
          <w:p w:rsidR="00E44AD0" w:rsidRPr="00877F55" w:rsidRDefault="00E44AD0" w:rsidP="00E44AD0">
            <w:pPr>
              <w:numPr>
                <w:ilvl w:val="0"/>
                <w:numId w:val="3"/>
              </w:numPr>
              <w:suppressAutoHyphens w:val="0"/>
              <w:jc w:val="both"/>
              <w:rPr>
                <w:lang w:val="en-US"/>
              </w:rPr>
            </w:pPr>
            <w:r w:rsidRPr="00877F55">
              <w:rPr>
                <w:lang w:val="en-US"/>
              </w:rPr>
              <w:t>PLM3002 Writing the City (30 credits)</w:t>
            </w:r>
          </w:p>
          <w:p w:rsidR="00E44AD0" w:rsidRPr="00877F55" w:rsidRDefault="00E44AD0" w:rsidP="00E44AD0">
            <w:pPr>
              <w:numPr>
                <w:ilvl w:val="0"/>
                <w:numId w:val="3"/>
              </w:numPr>
              <w:suppressAutoHyphens w:val="0"/>
              <w:jc w:val="both"/>
              <w:rPr>
                <w:lang w:val="en-US"/>
              </w:rPr>
            </w:pPr>
            <w:r w:rsidRPr="00877F55">
              <w:rPr>
                <w:lang w:val="en-US"/>
              </w:rPr>
              <w:t>CMW3009 Lyrics: Poetry and Song (30 credits)</w:t>
            </w:r>
          </w:p>
          <w:p w:rsidR="00E44AD0" w:rsidRPr="006C6D94" w:rsidRDefault="00E44AD0" w:rsidP="007B10A1"/>
          <w:p w:rsidR="00E44AD0" w:rsidRPr="006C6D94" w:rsidRDefault="00E44AD0" w:rsidP="007B10A1">
            <w:pPr>
              <w:rPr>
                <w:b/>
              </w:rPr>
            </w:pPr>
            <w:r w:rsidRPr="006C6D94">
              <w:rPr>
                <w:b/>
              </w:rPr>
              <w:t>Year Three</w:t>
            </w:r>
          </w:p>
          <w:p w:rsidR="00E44AD0" w:rsidRPr="006C6D94" w:rsidRDefault="00E44AD0" w:rsidP="007B10A1">
            <w:r w:rsidRPr="006C6D94">
              <w:rPr>
                <w:b/>
              </w:rPr>
              <w:t>60 credits compulsory:</w:t>
            </w:r>
          </w:p>
          <w:p w:rsidR="00E44AD0" w:rsidRPr="006C6D94" w:rsidRDefault="00E44AD0" w:rsidP="007B10A1"/>
          <w:p w:rsidR="00E44AD0" w:rsidRPr="00877F55" w:rsidRDefault="00E44AD0" w:rsidP="00E44AD0">
            <w:pPr>
              <w:numPr>
                <w:ilvl w:val="0"/>
                <w:numId w:val="4"/>
              </w:numPr>
              <w:suppressAutoHyphens w:val="0"/>
            </w:pPr>
            <w:r w:rsidRPr="00877F55">
              <w:t xml:space="preserve">CMW3001 Independent Project  (Double Weight) (60 credits) </w:t>
            </w:r>
          </w:p>
          <w:p w:rsidR="00E44AD0" w:rsidRDefault="00E44AD0" w:rsidP="007B10A1"/>
          <w:p w:rsidR="00E44AD0" w:rsidRDefault="00E44AD0" w:rsidP="007B10A1">
            <w:pPr>
              <w:rPr>
                <w:b/>
              </w:rPr>
            </w:pPr>
          </w:p>
          <w:p w:rsidR="00E44AD0" w:rsidRPr="006C6D94" w:rsidRDefault="00E44AD0" w:rsidP="007B10A1">
            <w:pPr>
              <w:rPr>
                <w:b/>
              </w:rPr>
            </w:pPr>
            <w:r w:rsidRPr="006C6D94">
              <w:rPr>
                <w:b/>
              </w:rPr>
              <w:t xml:space="preserve">Choice </w:t>
            </w:r>
            <w:proofErr w:type="gramStart"/>
            <w:r w:rsidRPr="006C6D94">
              <w:rPr>
                <w:b/>
              </w:rPr>
              <w:t>–  60</w:t>
            </w:r>
            <w:proofErr w:type="gramEnd"/>
            <w:r w:rsidRPr="006C6D94">
              <w:rPr>
                <w:b/>
              </w:rPr>
              <w:t xml:space="preserve"> credits  from:</w:t>
            </w:r>
          </w:p>
          <w:p w:rsidR="00E44AD0" w:rsidRPr="00877F55" w:rsidRDefault="00E44AD0" w:rsidP="007B10A1"/>
          <w:p w:rsidR="00E44AD0" w:rsidRPr="00877F55" w:rsidRDefault="00E44AD0" w:rsidP="00E44AD0">
            <w:pPr>
              <w:numPr>
                <w:ilvl w:val="0"/>
                <w:numId w:val="4"/>
              </w:numPr>
              <w:suppressAutoHyphens w:val="0"/>
              <w:rPr>
                <w:lang w:val="en-US"/>
              </w:rPr>
            </w:pPr>
            <w:r w:rsidRPr="00877F55">
              <w:rPr>
                <w:lang w:val="en-US"/>
              </w:rPr>
              <w:t>CMW 3002 Independent Project (30 credits)</w:t>
            </w:r>
          </w:p>
          <w:p w:rsidR="00E44AD0" w:rsidRPr="00877F55" w:rsidRDefault="00E44AD0" w:rsidP="00E44AD0">
            <w:pPr>
              <w:numPr>
                <w:ilvl w:val="0"/>
                <w:numId w:val="4"/>
              </w:numPr>
              <w:suppressAutoHyphens w:val="0"/>
              <w:rPr>
                <w:lang w:val="en-US"/>
              </w:rPr>
            </w:pPr>
            <w:r w:rsidRPr="00877F55">
              <w:rPr>
                <w:lang w:val="en-US"/>
              </w:rPr>
              <w:t>CMW 3003 Writing in Practice 2 [(30 credits)</w:t>
            </w:r>
          </w:p>
          <w:p w:rsidR="00E44AD0" w:rsidRPr="00877F55" w:rsidRDefault="00E44AD0" w:rsidP="00E44AD0">
            <w:pPr>
              <w:numPr>
                <w:ilvl w:val="0"/>
                <w:numId w:val="4"/>
              </w:numPr>
              <w:suppressAutoHyphens w:val="0"/>
              <w:rPr>
                <w:lang w:val="en-US"/>
              </w:rPr>
            </w:pPr>
            <w:r w:rsidRPr="00877F55">
              <w:t xml:space="preserve">CMW 3006 Writing and Publishing: Genre </w:t>
            </w:r>
            <w:r w:rsidRPr="00877F55">
              <w:rPr>
                <w:lang w:val="en-US"/>
              </w:rPr>
              <w:t>(30 credits)</w:t>
            </w:r>
          </w:p>
          <w:p w:rsidR="00E44AD0" w:rsidRPr="00877F55" w:rsidRDefault="00E44AD0" w:rsidP="00E44AD0">
            <w:pPr>
              <w:numPr>
                <w:ilvl w:val="0"/>
                <w:numId w:val="4"/>
              </w:numPr>
              <w:suppressAutoHyphens w:val="0"/>
              <w:rPr>
                <w:lang w:val="en-US"/>
              </w:rPr>
            </w:pPr>
            <w:r w:rsidRPr="00877F55">
              <w:rPr>
                <w:lang w:val="en-US"/>
              </w:rPr>
              <w:t>PLM3002 Writing the City (30 credits)</w:t>
            </w:r>
          </w:p>
          <w:p w:rsidR="00E44AD0" w:rsidRPr="00877F55" w:rsidRDefault="00E44AD0" w:rsidP="00E44AD0">
            <w:pPr>
              <w:numPr>
                <w:ilvl w:val="0"/>
                <w:numId w:val="4"/>
              </w:numPr>
              <w:suppressAutoHyphens w:val="0"/>
              <w:jc w:val="both"/>
              <w:rPr>
                <w:lang w:val="en-US"/>
              </w:rPr>
            </w:pPr>
            <w:r w:rsidRPr="00877F55">
              <w:rPr>
                <w:lang w:val="en-US"/>
              </w:rPr>
              <w:t>CMW3009 Lyrics: Poetry and Song (30 credits)</w:t>
            </w:r>
          </w:p>
        </w:tc>
      </w:tr>
    </w:tbl>
    <w:p w:rsidR="00E44AD0" w:rsidRPr="00F71715" w:rsidRDefault="00E44AD0" w:rsidP="00E44AD0"/>
    <w:tbl>
      <w:tblPr>
        <w:tblW w:w="7655" w:type="dxa"/>
        <w:jc w:val="center"/>
        <w:tblInd w:w="-176" w:type="dxa"/>
        <w:tblLayout w:type="fixed"/>
        <w:tblLook w:val="0000" w:firstRow="0" w:lastRow="0" w:firstColumn="0" w:lastColumn="0" w:noHBand="0" w:noVBand="0"/>
      </w:tblPr>
      <w:tblGrid>
        <w:gridCol w:w="2580"/>
        <w:gridCol w:w="2666"/>
        <w:gridCol w:w="2409"/>
      </w:tblGrid>
      <w:tr w:rsidR="00E44AD0" w:rsidRPr="00F71715" w:rsidTr="007B10A1">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8D8D8"/>
          </w:tcPr>
          <w:p w:rsidR="00E44AD0" w:rsidRPr="00F71715" w:rsidRDefault="00E44AD0" w:rsidP="007B10A1">
            <w:pPr>
              <w:snapToGrid w:val="0"/>
              <w:rPr>
                <w:b/>
              </w:rPr>
            </w:pPr>
            <w:r w:rsidRPr="00F71715">
              <w:rPr>
                <w:b/>
              </w:rPr>
              <w:t xml:space="preserve">12.2 Levels and modules </w:t>
            </w:r>
          </w:p>
          <w:p w:rsidR="00E44AD0" w:rsidRPr="00F71715" w:rsidRDefault="00E44AD0" w:rsidP="007B10A1">
            <w:pPr>
              <w:snapToGrid w:val="0"/>
              <w:rPr>
                <w:b/>
              </w:rPr>
            </w:pPr>
          </w:p>
          <w:p w:rsidR="00E44AD0" w:rsidRPr="00F71715" w:rsidRDefault="00E44AD0" w:rsidP="007B10A1">
            <w:pPr>
              <w:snapToGrid w:val="0"/>
              <w:rPr>
                <w:b/>
              </w:rPr>
            </w:pPr>
            <w:r w:rsidRPr="00F71715">
              <w:rPr>
                <w:b/>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E44AD0" w:rsidRPr="00F71715" w:rsidTr="007B10A1">
        <w:trPr>
          <w:cantSplit/>
          <w:trHeight w:val="90"/>
          <w:jc w:val="center"/>
        </w:trPr>
        <w:tc>
          <w:tcPr>
            <w:tcW w:w="7655" w:type="dxa"/>
            <w:gridSpan w:val="3"/>
            <w:tcBorders>
              <w:left w:val="single" w:sz="4" w:space="0" w:color="000000"/>
              <w:bottom w:val="single" w:sz="4" w:space="0" w:color="000000"/>
              <w:right w:val="single" w:sz="4" w:space="0" w:color="000000"/>
            </w:tcBorders>
          </w:tcPr>
          <w:p w:rsidR="00E44AD0" w:rsidRPr="00F71715" w:rsidRDefault="00E44AD0" w:rsidP="007B10A1">
            <w:pPr>
              <w:snapToGrid w:val="0"/>
            </w:pPr>
            <w:r w:rsidRPr="00F71715">
              <w:t>Level 4 (1)</w:t>
            </w:r>
          </w:p>
        </w:tc>
      </w:tr>
      <w:tr w:rsidR="00E44AD0" w:rsidRPr="00F71715" w:rsidTr="007B10A1">
        <w:trPr>
          <w:cantSplit/>
          <w:jc w:val="center"/>
        </w:trPr>
        <w:tc>
          <w:tcPr>
            <w:tcW w:w="2580" w:type="dxa"/>
            <w:tcBorders>
              <w:left w:val="single" w:sz="4" w:space="0" w:color="000000"/>
              <w:bottom w:val="single" w:sz="4" w:space="0" w:color="000000"/>
            </w:tcBorders>
          </w:tcPr>
          <w:p w:rsidR="00E44AD0" w:rsidRPr="00F71715" w:rsidRDefault="00E44AD0" w:rsidP="007B10A1">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E44AD0" w:rsidRPr="00F71715" w:rsidRDefault="00E44AD0" w:rsidP="007B10A1">
            <w:pPr>
              <w:snapToGrid w:val="0"/>
              <w:rPr>
                <w:lang w:val="en-US"/>
              </w:rPr>
            </w:pPr>
            <w:r w:rsidRPr="00F71715">
              <w:rPr>
                <w:lang w:val="en-US"/>
              </w:rPr>
              <w:t>COMPULSORY</w:t>
            </w:r>
          </w:p>
        </w:tc>
        <w:tc>
          <w:tcPr>
            <w:tcW w:w="2409" w:type="dxa"/>
            <w:tcBorders>
              <w:left w:val="single" w:sz="4" w:space="0" w:color="000000"/>
              <w:bottom w:val="single" w:sz="4" w:space="0" w:color="000000"/>
              <w:right w:val="single" w:sz="4" w:space="0" w:color="000000"/>
            </w:tcBorders>
          </w:tcPr>
          <w:p w:rsidR="00E44AD0" w:rsidRPr="00F71715" w:rsidRDefault="00E44AD0" w:rsidP="007B10A1">
            <w:pPr>
              <w:snapToGrid w:val="0"/>
              <w:rPr>
                <w:lang w:val="en-US"/>
              </w:rPr>
            </w:pPr>
            <w:r w:rsidRPr="00F71715">
              <w:rPr>
                <w:lang w:val="en-US"/>
              </w:rPr>
              <w:t>COMPULSORY</w:t>
            </w:r>
          </w:p>
        </w:tc>
      </w:tr>
      <w:tr w:rsidR="00E44AD0" w:rsidRPr="00F71715" w:rsidTr="007B10A1">
        <w:trPr>
          <w:cantSplit/>
          <w:trHeight w:val="1565"/>
          <w:jc w:val="center"/>
        </w:trPr>
        <w:tc>
          <w:tcPr>
            <w:tcW w:w="2580" w:type="dxa"/>
            <w:tcBorders>
              <w:left w:val="single" w:sz="4" w:space="0" w:color="000000"/>
              <w:bottom w:val="single" w:sz="4" w:space="0" w:color="000000"/>
            </w:tcBorders>
          </w:tcPr>
          <w:p w:rsidR="00E44AD0" w:rsidRDefault="00E44AD0" w:rsidP="007B10A1">
            <w:pPr>
              <w:snapToGrid w:val="0"/>
              <w:rPr>
                <w:lang w:val="en-US"/>
              </w:rPr>
            </w:pPr>
            <w:r>
              <w:rPr>
                <w:lang w:val="en-US"/>
              </w:rPr>
              <w:t>Students must take all of the following:</w:t>
            </w:r>
          </w:p>
          <w:p w:rsidR="00E44AD0" w:rsidRDefault="00E44AD0" w:rsidP="007B10A1">
            <w:pPr>
              <w:rPr>
                <w:lang w:val="en-US"/>
              </w:rPr>
            </w:pPr>
            <w:r>
              <w:rPr>
                <w:lang w:val="en-US"/>
              </w:rPr>
              <w:t>CMW1001</w:t>
            </w:r>
          </w:p>
          <w:p w:rsidR="00E44AD0" w:rsidRDefault="00E44AD0" w:rsidP="007B10A1">
            <w:pPr>
              <w:rPr>
                <w:lang w:val="en-US"/>
              </w:rPr>
            </w:pPr>
            <w:r>
              <w:rPr>
                <w:lang w:val="en-US"/>
              </w:rPr>
              <w:t>CMW1002</w:t>
            </w:r>
          </w:p>
          <w:p w:rsidR="00E44AD0" w:rsidRDefault="00E44AD0" w:rsidP="007B10A1">
            <w:pPr>
              <w:rPr>
                <w:lang w:val="en-US"/>
              </w:rPr>
            </w:pPr>
            <w:r>
              <w:rPr>
                <w:lang w:val="en-US"/>
              </w:rPr>
              <w:t>ELS1302</w:t>
            </w:r>
          </w:p>
          <w:p w:rsidR="00E44AD0" w:rsidRDefault="00E44AD0" w:rsidP="007B10A1">
            <w:pPr>
              <w:rPr>
                <w:lang w:val="en-US"/>
              </w:rPr>
            </w:pPr>
            <w:r>
              <w:rPr>
                <w:lang w:val="en-US"/>
              </w:rPr>
              <w:t>MDA1800</w:t>
            </w:r>
          </w:p>
        </w:tc>
        <w:tc>
          <w:tcPr>
            <w:tcW w:w="2666" w:type="dxa"/>
            <w:tcBorders>
              <w:left w:val="single" w:sz="4" w:space="0" w:color="000000"/>
              <w:bottom w:val="single" w:sz="4" w:space="0" w:color="000000"/>
            </w:tcBorders>
          </w:tcPr>
          <w:p w:rsidR="00E44AD0" w:rsidRDefault="00E44AD0" w:rsidP="007B10A1">
            <w:pPr>
              <w:snapToGrid w:val="0"/>
              <w:rPr>
                <w:lang w:val="en-US"/>
              </w:rPr>
            </w:pPr>
            <w:r>
              <w:rPr>
                <w:lang w:val="en-US"/>
              </w:rPr>
              <w:t>Students must take all of the following:</w:t>
            </w:r>
          </w:p>
          <w:p w:rsidR="00E44AD0" w:rsidRDefault="00E44AD0" w:rsidP="007B10A1">
            <w:pPr>
              <w:rPr>
                <w:lang w:val="en-US"/>
              </w:rPr>
            </w:pPr>
            <w:r>
              <w:rPr>
                <w:lang w:val="en-US"/>
              </w:rPr>
              <w:t>CMW1001</w:t>
            </w:r>
          </w:p>
          <w:p w:rsidR="00E44AD0" w:rsidRDefault="00E44AD0" w:rsidP="007B10A1">
            <w:pPr>
              <w:rPr>
                <w:lang w:val="en-US"/>
              </w:rPr>
            </w:pPr>
            <w:r>
              <w:rPr>
                <w:lang w:val="en-US"/>
              </w:rPr>
              <w:t>CMW1002</w:t>
            </w:r>
          </w:p>
          <w:p w:rsidR="00E44AD0" w:rsidRDefault="00E44AD0" w:rsidP="007B10A1">
            <w:pPr>
              <w:rPr>
                <w:lang w:val="en-US"/>
              </w:rPr>
            </w:pPr>
            <w:r>
              <w:rPr>
                <w:lang w:val="en-US"/>
              </w:rPr>
              <w:t>ELS1302</w:t>
            </w:r>
          </w:p>
          <w:p w:rsidR="00E44AD0" w:rsidRDefault="00E44AD0" w:rsidP="007B10A1">
            <w:pPr>
              <w:rPr>
                <w:lang w:val="en-US"/>
              </w:rPr>
            </w:pPr>
            <w:r>
              <w:rPr>
                <w:lang w:val="en-US"/>
              </w:rPr>
              <w:t>MDA1800</w:t>
            </w:r>
          </w:p>
        </w:tc>
        <w:tc>
          <w:tcPr>
            <w:tcW w:w="2409" w:type="dxa"/>
            <w:tcBorders>
              <w:left w:val="single" w:sz="4" w:space="0" w:color="000000"/>
              <w:bottom w:val="single" w:sz="4" w:space="0" w:color="000000"/>
              <w:right w:val="single" w:sz="4" w:space="0" w:color="000000"/>
            </w:tcBorders>
          </w:tcPr>
          <w:p w:rsidR="00E44AD0" w:rsidRDefault="00E44AD0" w:rsidP="007B10A1">
            <w:pPr>
              <w:snapToGrid w:val="0"/>
              <w:rPr>
                <w:lang w:val="en-US"/>
              </w:rPr>
            </w:pPr>
            <w:r>
              <w:rPr>
                <w:lang w:val="en-US"/>
              </w:rPr>
              <w:t>Students must take all of the following:</w:t>
            </w:r>
          </w:p>
          <w:p w:rsidR="00E44AD0" w:rsidRDefault="00E44AD0" w:rsidP="007B10A1">
            <w:pPr>
              <w:rPr>
                <w:lang w:val="en-US"/>
              </w:rPr>
            </w:pPr>
            <w:r>
              <w:rPr>
                <w:lang w:val="en-US"/>
              </w:rPr>
              <w:t>CMW1001</w:t>
            </w:r>
          </w:p>
          <w:p w:rsidR="00E44AD0" w:rsidRDefault="00E44AD0" w:rsidP="007B10A1">
            <w:pPr>
              <w:rPr>
                <w:lang w:val="en-US"/>
              </w:rPr>
            </w:pPr>
            <w:r>
              <w:rPr>
                <w:lang w:val="en-US"/>
              </w:rPr>
              <w:t>CMW1002</w:t>
            </w:r>
          </w:p>
          <w:p w:rsidR="00E44AD0" w:rsidRDefault="00E44AD0" w:rsidP="007B10A1">
            <w:pPr>
              <w:rPr>
                <w:lang w:val="en-US"/>
              </w:rPr>
            </w:pPr>
            <w:r>
              <w:rPr>
                <w:lang w:val="en-US"/>
              </w:rPr>
              <w:t>ELS1302</w:t>
            </w:r>
          </w:p>
          <w:p w:rsidR="00E44AD0" w:rsidRDefault="00E44AD0" w:rsidP="007B10A1">
            <w:pPr>
              <w:rPr>
                <w:lang w:val="en-US"/>
              </w:rPr>
            </w:pPr>
            <w:r>
              <w:rPr>
                <w:lang w:val="en-US"/>
              </w:rPr>
              <w:t>MDA1800</w:t>
            </w:r>
          </w:p>
        </w:tc>
      </w:tr>
      <w:tr w:rsidR="00E44AD0" w:rsidRPr="00F71715" w:rsidTr="007B10A1">
        <w:trPr>
          <w:cantSplit/>
          <w:jc w:val="center"/>
        </w:trPr>
        <w:tc>
          <w:tcPr>
            <w:tcW w:w="7655" w:type="dxa"/>
            <w:gridSpan w:val="3"/>
            <w:tcBorders>
              <w:left w:val="single" w:sz="4" w:space="0" w:color="000000"/>
              <w:bottom w:val="single" w:sz="4" w:space="0" w:color="000000"/>
              <w:right w:val="single" w:sz="4" w:space="0" w:color="000000"/>
            </w:tcBorders>
          </w:tcPr>
          <w:p w:rsidR="00E44AD0" w:rsidRPr="00F71715" w:rsidRDefault="00E44AD0" w:rsidP="007B10A1">
            <w:pPr>
              <w:snapToGrid w:val="0"/>
            </w:pPr>
            <w:r w:rsidRPr="00F71715">
              <w:t>Level 5 (2)</w:t>
            </w:r>
          </w:p>
        </w:tc>
      </w:tr>
      <w:tr w:rsidR="00E44AD0" w:rsidRPr="00F71715" w:rsidTr="007B10A1">
        <w:trPr>
          <w:cantSplit/>
          <w:jc w:val="center"/>
        </w:trPr>
        <w:tc>
          <w:tcPr>
            <w:tcW w:w="2580" w:type="dxa"/>
            <w:tcBorders>
              <w:left w:val="single" w:sz="4" w:space="0" w:color="000000"/>
              <w:bottom w:val="single" w:sz="4" w:space="0" w:color="000000"/>
            </w:tcBorders>
          </w:tcPr>
          <w:p w:rsidR="00E44AD0" w:rsidRPr="00F71715" w:rsidRDefault="00E44AD0" w:rsidP="007B10A1">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E44AD0" w:rsidRPr="00F71715" w:rsidRDefault="00E44AD0" w:rsidP="007B10A1">
            <w:pPr>
              <w:snapToGrid w:val="0"/>
              <w:rPr>
                <w:lang w:val="en-US"/>
              </w:rPr>
            </w:pPr>
            <w:r w:rsidRPr="00F71715">
              <w:rPr>
                <w:lang w:val="en-US"/>
              </w:rPr>
              <w:t>COMPULSORY</w:t>
            </w:r>
          </w:p>
        </w:tc>
        <w:tc>
          <w:tcPr>
            <w:tcW w:w="2409" w:type="dxa"/>
            <w:tcBorders>
              <w:left w:val="single" w:sz="4" w:space="0" w:color="000000"/>
              <w:bottom w:val="single" w:sz="4" w:space="0" w:color="000000"/>
              <w:right w:val="single" w:sz="4" w:space="0" w:color="000000"/>
            </w:tcBorders>
          </w:tcPr>
          <w:p w:rsidR="00E44AD0" w:rsidRPr="00F71715" w:rsidRDefault="00E44AD0" w:rsidP="007B10A1">
            <w:pPr>
              <w:snapToGrid w:val="0"/>
              <w:rPr>
                <w:lang w:val="en-US"/>
              </w:rPr>
            </w:pPr>
            <w:r w:rsidRPr="00F71715">
              <w:rPr>
                <w:lang w:val="en-US"/>
              </w:rPr>
              <w:t>COMPULSORY</w:t>
            </w:r>
          </w:p>
        </w:tc>
      </w:tr>
      <w:tr w:rsidR="00E44AD0" w:rsidRPr="00F71715" w:rsidTr="007B10A1">
        <w:trPr>
          <w:cantSplit/>
          <w:jc w:val="center"/>
        </w:trPr>
        <w:tc>
          <w:tcPr>
            <w:tcW w:w="2580" w:type="dxa"/>
            <w:tcBorders>
              <w:left w:val="single" w:sz="4" w:space="0" w:color="000000"/>
              <w:bottom w:val="single" w:sz="4" w:space="0" w:color="000000"/>
            </w:tcBorders>
          </w:tcPr>
          <w:p w:rsidR="00E44AD0" w:rsidRDefault="00E44AD0" w:rsidP="007B10A1">
            <w:pPr>
              <w:snapToGrid w:val="0"/>
              <w:rPr>
                <w:lang w:val="en-US"/>
              </w:rPr>
            </w:pPr>
            <w:r>
              <w:rPr>
                <w:lang w:val="en-US"/>
              </w:rPr>
              <w:t>Students must take all of the following:</w:t>
            </w:r>
          </w:p>
          <w:p w:rsidR="00E44AD0" w:rsidRDefault="00E44AD0" w:rsidP="007B10A1">
            <w:pPr>
              <w:rPr>
                <w:lang w:val="en-US"/>
              </w:rPr>
            </w:pPr>
            <w:r>
              <w:rPr>
                <w:lang w:val="en-US"/>
              </w:rPr>
              <w:t>CMW2002</w:t>
            </w:r>
          </w:p>
          <w:p w:rsidR="00E44AD0" w:rsidRDefault="00E44AD0" w:rsidP="007B10A1">
            <w:pPr>
              <w:rPr>
                <w:lang w:val="en-US"/>
              </w:rPr>
            </w:pPr>
            <w:r>
              <w:rPr>
                <w:lang w:val="en-US"/>
              </w:rPr>
              <w:t>MDA2100</w:t>
            </w:r>
          </w:p>
        </w:tc>
        <w:tc>
          <w:tcPr>
            <w:tcW w:w="2666" w:type="dxa"/>
            <w:tcBorders>
              <w:left w:val="single" w:sz="4" w:space="0" w:color="000000"/>
              <w:bottom w:val="single" w:sz="4" w:space="0" w:color="000000"/>
            </w:tcBorders>
          </w:tcPr>
          <w:p w:rsidR="00E44AD0" w:rsidRDefault="00E44AD0" w:rsidP="007B10A1">
            <w:pPr>
              <w:snapToGrid w:val="0"/>
              <w:rPr>
                <w:lang w:val="en-US"/>
              </w:rPr>
            </w:pPr>
            <w:r>
              <w:rPr>
                <w:lang w:val="en-US"/>
              </w:rPr>
              <w:t>Students must take all of the following:</w:t>
            </w:r>
          </w:p>
          <w:p w:rsidR="00E44AD0" w:rsidRDefault="00E44AD0" w:rsidP="007B10A1">
            <w:pPr>
              <w:rPr>
                <w:lang w:val="en-US"/>
              </w:rPr>
            </w:pPr>
            <w:r>
              <w:rPr>
                <w:lang w:val="en-US"/>
              </w:rPr>
              <w:t>CMW2002</w:t>
            </w:r>
          </w:p>
          <w:p w:rsidR="00E44AD0" w:rsidRDefault="00E44AD0" w:rsidP="007B10A1">
            <w:pPr>
              <w:rPr>
                <w:lang w:val="en-US"/>
              </w:rPr>
            </w:pPr>
            <w:r>
              <w:rPr>
                <w:lang w:val="en-US"/>
              </w:rPr>
              <w:t>MDA2100</w:t>
            </w:r>
          </w:p>
        </w:tc>
        <w:tc>
          <w:tcPr>
            <w:tcW w:w="2409" w:type="dxa"/>
            <w:tcBorders>
              <w:left w:val="single" w:sz="4" w:space="0" w:color="000000"/>
              <w:bottom w:val="single" w:sz="4" w:space="0" w:color="000000"/>
              <w:right w:val="single" w:sz="4" w:space="0" w:color="000000"/>
            </w:tcBorders>
          </w:tcPr>
          <w:p w:rsidR="00E44AD0" w:rsidRDefault="00E44AD0" w:rsidP="007B10A1">
            <w:pPr>
              <w:snapToGrid w:val="0"/>
              <w:rPr>
                <w:lang w:val="en-US"/>
              </w:rPr>
            </w:pPr>
            <w:r>
              <w:rPr>
                <w:lang w:val="en-US"/>
              </w:rPr>
              <w:t>Students must take all of the following:</w:t>
            </w:r>
          </w:p>
          <w:p w:rsidR="00E44AD0" w:rsidRDefault="00E44AD0" w:rsidP="007B10A1">
            <w:pPr>
              <w:rPr>
                <w:lang w:val="en-US"/>
              </w:rPr>
            </w:pPr>
            <w:r>
              <w:rPr>
                <w:lang w:val="en-US"/>
              </w:rPr>
              <w:t>CMW2002</w:t>
            </w:r>
          </w:p>
          <w:p w:rsidR="00E44AD0" w:rsidRDefault="00E44AD0" w:rsidP="007B10A1">
            <w:pPr>
              <w:rPr>
                <w:lang w:val="en-US"/>
              </w:rPr>
            </w:pPr>
            <w:r>
              <w:rPr>
                <w:lang w:val="en-US"/>
              </w:rPr>
              <w:t>MDA2100</w:t>
            </w:r>
          </w:p>
        </w:tc>
      </w:tr>
      <w:tr w:rsidR="00E44AD0" w:rsidRPr="00F71715" w:rsidTr="007B10A1">
        <w:trPr>
          <w:cantSplit/>
          <w:jc w:val="center"/>
        </w:trPr>
        <w:tc>
          <w:tcPr>
            <w:tcW w:w="7655" w:type="dxa"/>
            <w:gridSpan w:val="3"/>
            <w:tcBorders>
              <w:left w:val="single" w:sz="4" w:space="0" w:color="000000"/>
              <w:bottom w:val="single" w:sz="4" w:space="0" w:color="000000"/>
              <w:right w:val="single" w:sz="4" w:space="0" w:color="000000"/>
            </w:tcBorders>
          </w:tcPr>
          <w:p w:rsidR="00E44AD0" w:rsidRPr="00F71715" w:rsidRDefault="00E44AD0" w:rsidP="007B10A1">
            <w:pPr>
              <w:snapToGrid w:val="0"/>
            </w:pPr>
            <w:r w:rsidRPr="00F71715">
              <w:t>Level 6 (3)</w:t>
            </w:r>
          </w:p>
        </w:tc>
      </w:tr>
      <w:tr w:rsidR="00E44AD0" w:rsidRPr="00F71715" w:rsidTr="007B10A1">
        <w:trPr>
          <w:cantSplit/>
          <w:jc w:val="center"/>
        </w:trPr>
        <w:tc>
          <w:tcPr>
            <w:tcW w:w="2580" w:type="dxa"/>
            <w:tcBorders>
              <w:left w:val="single" w:sz="4" w:space="0" w:color="000000"/>
              <w:bottom w:val="single" w:sz="4" w:space="0" w:color="000000"/>
            </w:tcBorders>
          </w:tcPr>
          <w:p w:rsidR="00E44AD0" w:rsidRPr="00F71715" w:rsidRDefault="00E44AD0" w:rsidP="007B10A1">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E44AD0" w:rsidRPr="00F71715" w:rsidRDefault="00E44AD0" w:rsidP="007B10A1">
            <w:pPr>
              <w:snapToGrid w:val="0"/>
              <w:rPr>
                <w:lang w:val="en-US"/>
              </w:rPr>
            </w:pPr>
            <w:r w:rsidRPr="00F71715">
              <w:rPr>
                <w:lang w:val="en-US"/>
              </w:rPr>
              <w:t>COMPULSORY</w:t>
            </w:r>
          </w:p>
        </w:tc>
        <w:tc>
          <w:tcPr>
            <w:tcW w:w="2409" w:type="dxa"/>
            <w:tcBorders>
              <w:left w:val="single" w:sz="4" w:space="0" w:color="000000"/>
              <w:bottom w:val="single" w:sz="4" w:space="0" w:color="000000"/>
              <w:right w:val="single" w:sz="4" w:space="0" w:color="000000"/>
            </w:tcBorders>
          </w:tcPr>
          <w:p w:rsidR="00E44AD0" w:rsidRPr="00F71715" w:rsidRDefault="00E44AD0" w:rsidP="007B10A1">
            <w:pPr>
              <w:snapToGrid w:val="0"/>
              <w:rPr>
                <w:lang w:val="en-US"/>
              </w:rPr>
            </w:pPr>
            <w:r w:rsidRPr="00F71715">
              <w:rPr>
                <w:lang w:val="en-US"/>
              </w:rPr>
              <w:t>COMPULSORY</w:t>
            </w:r>
          </w:p>
        </w:tc>
      </w:tr>
      <w:tr w:rsidR="00E44AD0" w:rsidRPr="00F71715" w:rsidTr="007B10A1">
        <w:trPr>
          <w:cantSplit/>
          <w:trHeight w:val="922"/>
          <w:jc w:val="center"/>
        </w:trPr>
        <w:tc>
          <w:tcPr>
            <w:tcW w:w="2580" w:type="dxa"/>
            <w:tcBorders>
              <w:left w:val="single" w:sz="4" w:space="0" w:color="000000"/>
              <w:bottom w:val="single" w:sz="4" w:space="0" w:color="000000"/>
            </w:tcBorders>
          </w:tcPr>
          <w:p w:rsidR="00E44AD0" w:rsidRDefault="00E44AD0" w:rsidP="007B10A1">
            <w:pPr>
              <w:snapToGrid w:val="0"/>
              <w:rPr>
                <w:lang w:val="en-US"/>
              </w:rPr>
            </w:pPr>
            <w:r>
              <w:rPr>
                <w:lang w:val="en-US"/>
              </w:rPr>
              <w:t>Students must take all of the following:</w:t>
            </w:r>
          </w:p>
          <w:p w:rsidR="00E44AD0" w:rsidRDefault="00E44AD0" w:rsidP="007B10A1">
            <w:pPr>
              <w:snapToGrid w:val="0"/>
              <w:rPr>
                <w:lang w:val="en-US"/>
              </w:rPr>
            </w:pPr>
            <w:r>
              <w:rPr>
                <w:lang w:val="en-US"/>
              </w:rPr>
              <w:t>CMW3001</w:t>
            </w:r>
          </w:p>
        </w:tc>
        <w:tc>
          <w:tcPr>
            <w:tcW w:w="2666" w:type="dxa"/>
            <w:tcBorders>
              <w:left w:val="single" w:sz="4" w:space="0" w:color="000000"/>
              <w:bottom w:val="single" w:sz="4" w:space="0" w:color="000000"/>
            </w:tcBorders>
          </w:tcPr>
          <w:p w:rsidR="00E44AD0" w:rsidRDefault="00E44AD0" w:rsidP="007B10A1">
            <w:pPr>
              <w:snapToGrid w:val="0"/>
              <w:rPr>
                <w:lang w:val="en-US"/>
              </w:rPr>
            </w:pPr>
            <w:r>
              <w:rPr>
                <w:lang w:val="en-US"/>
              </w:rPr>
              <w:t>Students must take all of the following:</w:t>
            </w:r>
          </w:p>
          <w:p w:rsidR="00E44AD0" w:rsidRDefault="00E44AD0" w:rsidP="007B10A1">
            <w:pPr>
              <w:snapToGrid w:val="0"/>
              <w:rPr>
                <w:lang w:val="en-US"/>
              </w:rPr>
            </w:pPr>
            <w:r>
              <w:rPr>
                <w:lang w:val="en-US"/>
              </w:rPr>
              <w:t>CMW3001</w:t>
            </w:r>
          </w:p>
        </w:tc>
        <w:tc>
          <w:tcPr>
            <w:tcW w:w="2409" w:type="dxa"/>
            <w:tcBorders>
              <w:left w:val="single" w:sz="4" w:space="0" w:color="000000"/>
              <w:bottom w:val="single" w:sz="4" w:space="0" w:color="000000"/>
              <w:right w:val="single" w:sz="4" w:space="0" w:color="000000"/>
            </w:tcBorders>
          </w:tcPr>
          <w:p w:rsidR="00E44AD0" w:rsidRDefault="00E44AD0" w:rsidP="007B10A1">
            <w:pPr>
              <w:snapToGrid w:val="0"/>
              <w:rPr>
                <w:lang w:val="en-US"/>
              </w:rPr>
            </w:pPr>
            <w:r>
              <w:rPr>
                <w:lang w:val="en-US"/>
              </w:rPr>
              <w:t>Students must take all of the following:</w:t>
            </w:r>
          </w:p>
          <w:p w:rsidR="00E44AD0" w:rsidRDefault="00E44AD0" w:rsidP="007B10A1">
            <w:pPr>
              <w:snapToGrid w:val="0"/>
              <w:rPr>
                <w:lang w:val="en-US"/>
              </w:rPr>
            </w:pPr>
            <w:r>
              <w:rPr>
                <w:lang w:val="en-US"/>
              </w:rPr>
              <w:t>CMW3001</w:t>
            </w:r>
          </w:p>
        </w:tc>
      </w:tr>
    </w:tbl>
    <w:p w:rsidR="00E44AD0" w:rsidRPr="00F71715" w:rsidRDefault="00E44AD0" w:rsidP="00E44AD0"/>
    <w:tbl>
      <w:tblPr>
        <w:tblW w:w="7655" w:type="dxa"/>
        <w:jc w:val="center"/>
        <w:tblInd w:w="-176" w:type="dxa"/>
        <w:tblLayout w:type="fixed"/>
        <w:tblLook w:val="0000" w:firstRow="0" w:lastRow="0" w:firstColumn="0" w:lastColumn="0" w:noHBand="0" w:noVBand="0"/>
      </w:tblPr>
      <w:tblGrid>
        <w:gridCol w:w="3261"/>
        <w:gridCol w:w="4394"/>
      </w:tblGrid>
      <w:tr w:rsidR="00E44AD0" w:rsidRPr="00F71715" w:rsidTr="007B10A1">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cPr>
          <w:p w:rsidR="00E44AD0" w:rsidRPr="00F71715" w:rsidRDefault="00E44AD0" w:rsidP="007B10A1">
            <w:pPr>
              <w:pStyle w:val="BodyText"/>
              <w:snapToGrid w:val="0"/>
              <w:jc w:val="both"/>
              <w:rPr>
                <w:b/>
                <w:i/>
                <w:szCs w:val="18"/>
              </w:rPr>
            </w:pPr>
            <w:r w:rsidRPr="00F71715">
              <w:rPr>
                <w:b/>
                <w:i/>
                <w:szCs w:val="18"/>
              </w:rPr>
              <w:t>12.3 Non-compensatable modules (note statement in 12.2 regarding FHEQ levels)</w:t>
            </w:r>
          </w:p>
        </w:tc>
      </w:tr>
      <w:tr w:rsidR="00E44AD0" w:rsidRPr="00F71715" w:rsidTr="007B10A1">
        <w:trPr>
          <w:cantSplit/>
          <w:trHeight w:val="265"/>
          <w:jc w:val="center"/>
        </w:trPr>
        <w:tc>
          <w:tcPr>
            <w:tcW w:w="3261" w:type="dxa"/>
            <w:tcBorders>
              <w:left w:val="single" w:sz="4" w:space="0" w:color="000000"/>
              <w:bottom w:val="single" w:sz="4" w:space="0" w:color="000000"/>
            </w:tcBorders>
            <w:shd w:val="clear" w:color="auto" w:fill="D9D9D9"/>
          </w:tcPr>
          <w:p w:rsidR="00E44AD0" w:rsidRPr="00F71715" w:rsidRDefault="00E44AD0" w:rsidP="007B10A1">
            <w:pPr>
              <w:pStyle w:val="BodyText"/>
              <w:snapToGrid w:val="0"/>
              <w:jc w:val="both"/>
              <w:rPr>
                <w:b/>
                <w:bCs/>
                <w:i/>
                <w:szCs w:val="18"/>
              </w:rPr>
            </w:pPr>
            <w:r w:rsidRPr="00F71715">
              <w:rPr>
                <w:b/>
                <w:bCs/>
                <w:i/>
                <w:szCs w:val="18"/>
              </w:rPr>
              <w:t>Module level</w:t>
            </w:r>
          </w:p>
        </w:tc>
        <w:tc>
          <w:tcPr>
            <w:tcW w:w="4394" w:type="dxa"/>
            <w:tcBorders>
              <w:left w:val="single" w:sz="4" w:space="0" w:color="000000"/>
              <w:bottom w:val="single" w:sz="4" w:space="0" w:color="000000"/>
              <w:right w:val="single" w:sz="4" w:space="0" w:color="000000"/>
            </w:tcBorders>
            <w:shd w:val="clear" w:color="auto" w:fill="D9D9D9"/>
          </w:tcPr>
          <w:p w:rsidR="00E44AD0" w:rsidRPr="00F71715" w:rsidRDefault="00E44AD0" w:rsidP="007B10A1">
            <w:pPr>
              <w:pStyle w:val="BodyText"/>
              <w:snapToGrid w:val="0"/>
              <w:jc w:val="both"/>
              <w:rPr>
                <w:b/>
                <w:bCs/>
                <w:i/>
                <w:szCs w:val="18"/>
              </w:rPr>
            </w:pPr>
            <w:r w:rsidRPr="00F71715">
              <w:rPr>
                <w:b/>
                <w:bCs/>
                <w:i/>
                <w:szCs w:val="18"/>
              </w:rPr>
              <w:t>Module code</w:t>
            </w:r>
          </w:p>
        </w:tc>
      </w:tr>
      <w:tr w:rsidR="00E44AD0" w:rsidRPr="00F71715" w:rsidTr="007B10A1">
        <w:trPr>
          <w:cantSplit/>
          <w:trHeight w:val="265"/>
          <w:jc w:val="center"/>
        </w:trPr>
        <w:tc>
          <w:tcPr>
            <w:tcW w:w="3261" w:type="dxa"/>
            <w:tcBorders>
              <w:left w:val="single" w:sz="4" w:space="0" w:color="000000"/>
              <w:bottom w:val="single" w:sz="4" w:space="0" w:color="000000"/>
            </w:tcBorders>
          </w:tcPr>
          <w:p w:rsidR="00E44AD0" w:rsidRPr="002E0B4D" w:rsidRDefault="00E44AD0" w:rsidP="007B10A1">
            <w:pPr>
              <w:pStyle w:val="BodyText"/>
              <w:snapToGrid w:val="0"/>
              <w:jc w:val="both"/>
              <w:rPr>
                <w:szCs w:val="18"/>
              </w:rPr>
            </w:pPr>
            <w:r w:rsidRPr="002E0B4D">
              <w:rPr>
                <w:szCs w:val="18"/>
              </w:rPr>
              <w:t>6 (3)</w:t>
            </w:r>
          </w:p>
        </w:tc>
        <w:tc>
          <w:tcPr>
            <w:tcW w:w="4394" w:type="dxa"/>
            <w:tcBorders>
              <w:left w:val="single" w:sz="4" w:space="0" w:color="000000"/>
              <w:bottom w:val="single" w:sz="4" w:space="0" w:color="000000"/>
              <w:right w:val="single" w:sz="4" w:space="0" w:color="000000"/>
            </w:tcBorders>
          </w:tcPr>
          <w:p w:rsidR="00E44AD0" w:rsidRPr="002E0B4D" w:rsidRDefault="00E44AD0" w:rsidP="007B10A1">
            <w:pPr>
              <w:pStyle w:val="BodyText"/>
              <w:snapToGrid w:val="0"/>
              <w:jc w:val="both"/>
              <w:rPr>
                <w:szCs w:val="18"/>
              </w:rPr>
            </w:pPr>
            <w:r w:rsidRPr="002E0B4D">
              <w:rPr>
                <w:szCs w:val="18"/>
              </w:rPr>
              <w:t>CMW3001</w:t>
            </w:r>
          </w:p>
        </w:tc>
      </w:tr>
    </w:tbl>
    <w:p w:rsidR="00E44AD0" w:rsidRPr="00F71715" w:rsidRDefault="00E44AD0" w:rsidP="00E44AD0"/>
    <w:tbl>
      <w:tblPr>
        <w:tblW w:w="7655" w:type="dxa"/>
        <w:jc w:val="center"/>
        <w:tblInd w:w="-176" w:type="dxa"/>
        <w:tblLayout w:type="fixed"/>
        <w:tblLook w:val="0000" w:firstRow="0" w:lastRow="0" w:firstColumn="0" w:lastColumn="0" w:noHBand="0" w:noVBand="0"/>
      </w:tblPr>
      <w:tblGrid>
        <w:gridCol w:w="7655"/>
      </w:tblGrid>
      <w:tr w:rsidR="00E44AD0"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E44AD0" w:rsidRPr="00F71715" w:rsidRDefault="00E44AD0" w:rsidP="007B10A1">
            <w:pPr>
              <w:pStyle w:val="FootnoteText"/>
              <w:snapToGrid w:val="0"/>
              <w:rPr>
                <w:b/>
                <w:sz w:val="22"/>
              </w:rPr>
            </w:pPr>
            <w:r w:rsidRPr="00F71715">
              <w:rPr>
                <w:b/>
                <w:sz w:val="22"/>
              </w:rPr>
              <w:t>13. A curriculum map relating learning outcomes to modules</w:t>
            </w:r>
          </w:p>
        </w:tc>
      </w:tr>
      <w:tr w:rsidR="00E44AD0" w:rsidRPr="00F71715" w:rsidTr="007B10A1">
        <w:trPr>
          <w:jc w:val="center"/>
        </w:trPr>
        <w:tc>
          <w:tcPr>
            <w:tcW w:w="7655" w:type="dxa"/>
            <w:tcBorders>
              <w:left w:val="single" w:sz="4" w:space="0" w:color="000000"/>
              <w:bottom w:val="single" w:sz="4" w:space="0" w:color="000000"/>
              <w:right w:val="single" w:sz="4" w:space="0" w:color="000000"/>
            </w:tcBorders>
          </w:tcPr>
          <w:p w:rsidR="00E44AD0" w:rsidRPr="00877F55" w:rsidRDefault="00E44AD0" w:rsidP="007B10A1">
            <w:pPr>
              <w:snapToGrid w:val="0"/>
              <w:spacing w:before="120" w:after="120"/>
            </w:pPr>
            <w:r w:rsidRPr="00877F55">
              <w:t>See Curriculum Map attached</w:t>
            </w:r>
          </w:p>
        </w:tc>
      </w:tr>
    </w:tbl>
    <w:p w:rsidR="00E44AD0" w:rsidRPr="00F71715" w:rsidRDefault="00E44AD0" w:rsidP="00E44AD0"/>
    <w:tbl>
      <w:tblPr>
        <w:tblW w:w="7655" w:type="dxa"/>
        <w:jc w:val="center"/>
        <w:tblInd w:w="-176" w:type="dxa"/>
        <w:tblLayout w:type="fixed"/>
        <w:tblLook w:val="0000" w:firstRow="0" w:lastRow="0" w:firstColumn="0" w:lastColumn="0" w:noHBand="0" w:noVBand="0"/>
      </w:tblPr>
      <w:tblGrid>
        <w:gridCol w:w="7655"/>
      </w:tblGrid>
      <w:tr w:rsidR="00E44AD0"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E44AD0" w:rsidRPr="00F71715" w:rsidRDefault="00E44AD0" w:rsidP="007B10A1">
            <w:pPr>
              <w:pStyle w:val="FootnoteText"/>
              <w:snapToGrid w:val="0"/>
              <w:rPr>
                <w:b/>
                <w:sz w:val="22"/>
              </w:rPr>
            </w:pPr>
            <w:r w:rsidRPr="00F71715">
              <w:rPr>
                <w:b/>
                <w:sz w:val="22"/>
              </w:rPr>
              <w:t>14. Information about assessment regulations</w:t>
            </w:r>
          </w:p>
        </w:tc>
      </w:tr>
      <w:tr w:rsidR="00E44AD0" w:rsidRPr="00F71715" w:rsidTr="007B10A1">
        <w:trPr>
          <w:jc w:val="center"/>
        </w:trPr>
        <w:tc>
          <w:tcPr>
            <w:tcW w:w="7655" w:type="dxa"/>
            <w:tcBorders>
              <w:left w:val="single" w:sz="4" w:space="0" w:color="000000"/>
              <w:bottom w:val="single" w:sz="4" w:space="0" w:color="000000"/>
              <w:right w:val="single" w:sz="4" w:space="0" w:color="000000"/>
            </w:tcBorders>
          </w:tcPr>
          <w:p w:rsidR="00E44AD0" w:rsidRPr="00F71715" w:rsidRDefault="00E44AD0" w:rsidP="007B10A1">
            <w:pPr>
              <w:rPr>
                <w:b/>
                <w:i/>
              </w:rPr>
            </w:pPr>
            <w:r w:rsidRPr="006C6D94">
              <w:rPr>
                <w:color w:val="000000"/>
              </w:rPr>
              <w:t xml:space="preserve">Middlesex University Regulations at </w:t>
            </w:r>
            <w:hyperlink r:id="rId7" w:history="1">
              <w:r w:rsidRPr="00CE1F90">
                <w:rPr>
                  <w:rStyle w:val="Hyperlink"/>
                </w:rPr>
                <w:t>http://www.mdx.ac.uk/regulations</w:t>
              </w:r>
            </w:hyperlink>
            <w:r>
              <w:rPr>
                <w:color w:val="000000"/>
              </w:rPr>
              <w:t xml:space="preserve"> </w:t>
            </w:r>
          </w:p>
        </w:tc>
      </w:tr>
    </w:tbl>
    <w:p w:rsidR="00E44AD0" w:rsidRPr="00F71715" w:rsidRDefault="00E44AD0" w:rsidP="00E44AD0"/>
    <w:tbl>
      <w:tblPr>
        <w:tblW w:w="7655" w:type="dxa"/>
        <w:jc w:val="center"/>
        <w:tblInd w:w="-176" w:type="dxa"/>
        <w:tblLayout w:type="fixed"/>
        <w:tblLook w:val="0000" w:firstRow="0" w:lastRow="0" w:firstColumn="0" w:lastColumn="0" w:noHBand="0" w:noVBand="0"/>
      </w:tblPr>
      <w:tblGrid>
        <w:gridCol w:w="7655"/>
      </w:tblGrid>
      <w:tr w:rsidR="00E44AD0"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E44AD0" w:rsidRPr="00F71715" w:rsidRDefault="00E44AD0" w:rsidP="007B10A1">
            <w:pPr>
              <w:pStyle w:val="FootnoteText"/>
              <w:snapToGrid w:val="0"/>
              <w:rPr>
                <w:b/>
                <w:sz w:val="22"/>
              </w:rPr>
            </w:pPr>
            <w:r w:rsidRPr="00F71715">
              <w:rPr>
                <w:b/>
                <w:sz w:val="22"/>
              </w:rPr>
              <w:t>15. Placement opportunities, requirements and support (if applicable)</w:t>
            </w:r>
          </w:p>
        </w:tc>
      </w:tr>
      <w:tr w:rsidR="00E44AD0" w:rsidRPr="00F71715" w:rsidTr="007B10A1">
        <w:trPr>
          <w:jc w:val="center"/>
        </w:trPr>
        <w:tc>
          <w:tcPr>
            <w:tcW w:w="7655" w:type="dxa"/>
            <w:tcBorders>
              <w:left w:val="single" w:sz="4" w:space="0" w:color="000000"/>
              <w:bottom w:val="single" w:sz="4" w:space="0" w:color="000000"/>
              <w:right w:val="single" w:sz="4" w:space="0" w:color="000000"/>
            </w:tcBorders>
          </w:tcPr>
          <w:p w:rsidR="00E44AD0" w:rsidRPr="00F71715" w:rsidRDefault="00E44AD0" w:rsidP="007B10A1">
            <w:pPr>
              <w:rPr>
                <w:b/>
              </w:rPr>
            </w:pPr>
            <w:r w:rsidRPr="006C6D94">
              <w:rPr>
                <w:color w:val="000000"/>
              </w:rPr>
              <w:t>CMW3003 Writing in Practice 2, taken in Level 3, includes the option of work experience. Supported by the Placement Office.</w:t>
            </w:r>
          </w:p>
        </w:tc>
      </w:tr>
    </w:tbl>
    <w:p w:rsidR="00E44AD0" w:rsidRPr="00F71715" w:rsidRDefault="00E44AD0" w:rsidP="00E44AD0"/>
    <w:tbl>
      <w:tblPr>
        <w:tblW w:w="7655" w:type="dxa"/>
        <w:jc w:val="center"/>
        <w:tblInd w:w="-176" w:type="dxa"/>
        <w:tblLayout w:type="fixed"/>
        <w:tblLook w:val="0000" w:firstRow="0" w:lastRow="0" w:firstColumn="0" w:lastColumn="0" w:noHBand="0" w:noVBand="0"/>
      </w:tblPr>
      <w:tblGrid>
        <w:gridCol w:w="7655"/>
      </w:tblGrid>
      <w:tr w:rsidR="00E44AD0"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E44AD0" w:rsidRPr="00F71715" w:rsidRDefault="00E44AD0" w:rsidP="007B10A1">
            <w:pPr>
              <w:pStyle w:val="FootnoteText"/>
              <w:snapToGrid w:val="0"/>
              <w:rPr>
                <w:b/>
                <w:sz w:val="22"/>
              </w:rPr>
            </w:pPr>
            <w:r w:rsidRPr="00F71715">
              <w:rPr>
                <w:b/>
                <w:sz w:val="22"/>
              </w:rPr>
              <w:t>16. Future careers (if applicable)</w:t>
            </w:r>
          </w:p>
        </w:tc>
      </w:tr>
      <w:tr w:rsidR="00E44AD0" w:rsidRPr="00F71715" w:rsidTr="007B10A1">
        <w:trPr>
          <w:jc w:val="center"/>
        </w:trPr>
        <w:tc>
          <w:tcPr>
            <w:tcW w:w="7655" w:type="dxa"/>
            <w:tcBorders>
              <w:left w:val="single" w:sz="4" w:space="0" w:color="000000"/>
              <w:bottom w:val="single" w:sz="4" w:space="0" w:color="000000"/>
              <w:right w:val="single" w:sz="4" w:space="0" w:color="000000"/>
            </w:tcBorders>
          </w:tcPr>
          <w:p w:rsidR="00E44AD0" w:rsidRPr="00F71715" w:rsidRDefault="00E44AD0" w:rsidP="007B10A1">
            <w:pPr>
              <w:snapToGrid w:val="0"/>
              <w:rPr>
                <w:b/>
              </w:rPr>
            </w:pPr>
            <w:r w:rsidRPr="006C6D94">
              <w:rPr>
                <w:color w:val="000000"/>
              </w:rPr>
              <w:t xml:space="preserve">We have strong links with the employment market. The qualification is valued both as a general humanities degree and as a specialist writing degree. Recent Writing graduates are now working in newspapers, magazines, television production, children's publishing, adult publishing, writing therapy, P.R., theatre, libraries, advertising and teaching. Other graduates have gone on to launch their own freelance careers as writers or to take postgraduate courses which further develop </w:t>
            </w:r>
            <w:proofErr w:type="gramStart"/>
            <w:r w:rsidRPr="006C6D94">
              <w:rPr>
                <w:color w:val="000000"/>
              </w:rPr>
              <w:t>their</w:t>
            </w:r>
            <w:proofErr w:type="gramEnd"/>
            <w:r w:rsidRPr="006C6D94">
              <w:rPr>
                <w:color w:val="000000"/>
              </w:rPr>
              <w:t xml:space="preserve"> writing.</w:t>
            </w:r>
          </w:p>
        </w:tc>
      </w:tr>
    </w:tbl>
    <w:p w:rsidR="00E44AD0" w:rsidRPr="00F71715" w:rsidRDefault="00E44AD0" w:rsidP="00E44AD0"/>
    <w:tbl>
      <w:tblPr>
        <w:tblW w:w="7655" w:type="dxa"/>
        <w:jc w:val="center"/>
        <w:tblInd w:w="-176" w:type="dxa"/>
        <w:tblLayout w:type="fixed"/>
        <w:tblLook w:val="0000" w:firstRow="0" w:lastRow="0" w:firstColumn="0" w:lastColumn="0" w:noHBand="0" w:noVBand="0"/>
      </w:tblPr>
      <w:tblGrid>
        <w:gridCol w:w="7655"/>
      </w:tblGrid>
      <w:tr w:rsidR="00E44AD0"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E44AD0" w:rsidRPr="00F71715" w:rsidRDefault="00E44AD0" w:rsidP="007B10A1">
            <w:pPr>
              <w:pStyle w:val="FootnoteText"/>
              <w:snapToGrid w:val="0"/>
              <w:rPr>
                <w:b/>
                <w:sz w:val="22"/>
              </w:rPr>
            </w:pPr>
            <w:r w:rsidRPr="00F71715">
              <w:rPr>
                <w:b/>
                <w:sz w:val="22"/>
              </w:rPr>
              <w:t>17. Particular support for learning (if applicable)</w:t>
            </w:r>
          </w:p>
        </w:tc>
      </w:tr>
      <w:tr w:rsidR="00E44AD0" w:rsidRPr="00F71715" w:rsidTr="007B10A1">
        <w:trPr>
          <w:jc w:val="center"/>
        </w:trPr>
        <w:tc>
          <w:tcPr>
            <w:tcW w:w="7655" w:type="dxa"/>
            <w:tcBorders>
              <w:left w:val="single" w:sz="4" w:space="0" w:color="000000"/>
              <w:bottom w:val="single" w:sz="4" w:space="0" w:color="000000"/>
              <w:right w:val="single" w:sz="4" w:space="0" w:color="000000"/>
            </w:tcBorders>
          </w:tcPr>
          <w:p w:rsidR="00E44AD0" w:rsidRPr="006C6D94" w:rsidRDefault="00E44AD0" w:rsidP="007B10A1">
            <w:pPr>
              <w:pStyle w:val="hbookbodytext"/>
              <w:jc w:val="both"/>
              <w:rPr>
                <w:color w:val="000000"/>
              </w:rPr>
            </w:pPr>
            <w:r w:rsidRPr="006C6D94">
              <w:rPr>
                <w:color w:val="000000"/>
              </w:rPr>
              <w:t xml:space="preserve">Staff </w:t>
            </w:r>
            <w:proofErr w:type="gramStart"/>
            <w:r w:rsidRPr="006C6D94">
              <w:rPr>
                <w:color w:val="000000"/>
              </w:rPr>
              <w:t>teaching on the programme are</w:t>
            </w:r>
            <w:proofErr w:type="gramEnd"/>
            <w:r w:rsidRPr="006C6D94">
              <w:rPr>
                <w:color w:val="000000"/>
              </w:rPr>
              <w:t xml:space="preserve"> published novelists, short story writers, poets, scriptwriters and journalists and are research-active in the areas of the pedagogy of creative writing.</w:t>
            </w:r>
          </w:p>
          <w:p w:rsidR="00E44AD0" w:rsidRPr="006C6D94" w:rsidRDefault="00E44AD0" w:rsidP="007B10A1">
            <w:pPr>
              <w:pStyle w:val="hbookbodytext"/>
              <w:jc w:val="both"/>
            </w:pPr>
            <w:r w:rsidRPr="006C6D94">
              <w:t>LR support, induction, subject-dedicated librarian, LR workshops on essay writing and written English.</w:t>
            </w:r>
          </w:p>
          <w:p w:rsidR="00E44AD0" w:rsidRPr="006C6D94" w:rsidRDefault="00E44AD0" w:rsidP="007B10A1">
            <w:pPr>
              <w:pStyle w:val="hbookbodytext"/>
              <w:jc w:val="both"/>
            </w:pPr>
            <w:r w:rsidRPr="006C6D94">
              <w:t>Campus Student Office offering on-site counselling, careers advice and disability support services</w:t>
            </w:r>
          </w:p>
          <w:p w:rsidR="00E44AD0" w:rsidRPr="00F71715" w:rsidRDefault="00E44AD0" w:rsidP="007B10A1">
            <w:pPr>
              <w:snapToGrid w:val="0"/>
              <w:rPr>
                <w:b/>
              </w:rPr>
            </w:pPr>
            <w:r w:rsidRPr="006C6D94">
              <w:t>E-mail access to tutors. “Office hour” surgeries with tutors.</w:t>
            </w:r>
          </w:p>
        </w:tc>
      </w:tr>
    </w:tbl>
    <w:p w:rsidR="00E44AD0" w:rsidRDefault="00E44AD0" w:rsidP="00E44AD0"/>
    <w:p w:rsidR="00E44AD0" w:rsidRPr="00F71715" w:rsidRDefault="00E44AD0" w:rsidP="00E44AD0"/>
    <w:tbl>
      <w:tblPr>
        <w:tblW w:w="7655" w:type="dxa"/>
        <w:jc w:val="center"/>
        <w:tblInd w:w="-176" w:type="dxa"/>
        <w:tblLayout w:type="fixed"/>
        <w:tblLook w:val="0000" w:firstRow="0" w:lastRow="0" w:firstColumn="0" w:lastColumn="0" w:noHBand="0" w:noVBand="0"/>
      </w:tblPr>
      <w:tblGrid>
        <w:gridCol w:w="4183"/>
        <w:gridCol w:w="3472"/>
      </w:tblGrid>
      <w:tr w:rsidR="00E44AD0" w:rsidRPr="00F71715" w:rsidTr="007B10A1">
        <w:trPr>
          <w:jc w:val="center"/>
        </w:trPr>
        <w:tc>
          <w:tcPr>
            <w:tcW w:w="4183" w:type="dxa"/>
            <w:tcBorders>
              <w:top w:val="single" w:sz="4" w:space="0" w:color="000000"/>
              <w:left w:val="single" w:sz="4" w:space="0" w:color="000000"/>
              <w:bottom w:val="single" w:sz="8" w:space="0" w:color="FFFFFF"/>
            </w:tcBorders>
            <w:shd w:val="clear" w:color="auto" w:fill="DFDFDF"/>
          </w:tcPr>
          <w:p w:rsidR="00E44AD0" w:rsidRPr="00F71715" w:rsidRDefault="00E44AD0" w:rsidP="007B10A1">
            <w:pPr>
              <w:snapToGrid w:val="0"/>
              <w:rPr>
                <w:b/>
              </w:rPr>
            </w:pPr>
            <w:r w:rsidRPr="00F71715">
              <w:rPr>
                <w:b/>
              </w:rPr>
              <w:t>18. JACS code (or other relevant coding system)</w:t>
            </w:r>
          </w:p>
        </w:tc>
        <w:tc>
          <w:tcPr>
            <w:tcW w:w="3472" w:type="dxa"/>
            <w:tcBorders>
              <w:top w:val="single" w:sz="4" w:space="0" w:color="000000"/>
              <w:left w:val="single" w:sz="8" w:space="0" w:color="FFFFFF"/>
              <w:right w:val="single" w:sz="4" w:space="0" w:color="000000"/>
            </w:tcBorders>
          </w:tcPr>
          <w:p w:rsidR="00E44AD0" w:rsidRPr="00F71715" w:rsidRDefault="00E44AD0" w:rsidP="007B10A1">
            <w:pPr>
              <w:snapToGrid w:val="0"/>
            </w:pPr>
            <w:r>
              <w:t>WP83</w:t>
            </w:r>
          </w:p>
        </w:tc>
      </w:tr>
      <w:tr w:rsidR="00E44AD0" w:rsidRPr="00F71715" w:rsidTr="007B10A1">
        <w:trPr>
          <w:jc w:val="center"/>
        </w:trPr>
        <w:tc>
          <w:tcPr>
            <w:tcW w:w="4183" w:type="dxa"/>
            <w:tcBorders>
              <w:left w:val="single" w:sz="4" w:space="0" w:color="000000"/>
              <w:bottom w:val="single" w:sz="4" w:space="0" w:color="000000"/>
            </w:tcBorders>
            <w:shd w:val="clear" w:color="auto" w:fill="DFDFDF"/>
          </w:tcPr>
          <w:p w:rsidR="00E44AD0" w:rsidRPr="00F71715" w:rsidRDefault="00E44AD0" w:rsidP="007B10A1">
            <w:pPr>
              <w:snapToGrid w:val="0"/>
              <w:rPr>
                <w:b/>
              </w:rPr>
            </w:pPr>
            <w:r w:rsidRPr="00F71715">
              <w:rPr>
                <w:b/>
              </w:rPr>
              <w:t>19. Relevant QAA subject benchmark group(s)</w:t>
            </w:r>
          </w:p>
        </w:tc>
        <w:tc>
          <w:tcPr>
            <w:tcW w:w="3472" w:type="dxa"/>
            <w:tcBorders>
              <w:left w:val="single" w:sz="8" w:space="0" w:color="FFFFFF"/>
              <w:bottom w:val="single" w:sz="4" w:space="0" w:color="000000"/>
              <w:right w:val="single" w:sz="4" w:space="0" w:color="000000"/>
            </w:tcBorders>
          </w:tcPr>
          <w:p w:rsidR="00E44AD0" w:rsidRPr="00F71715" w:rsidRDefault="00E44AD0" w:rsidP="007B10A1">
            <w:pPr>
              <w:snapToGrid w:val="0"/>
            </w:pPr>
            <w:r>
              <w:t>Draft English Subject Benchmark</w:t>
            </w:r>
          </w:p>
        </w:tc>
      </w:tr>
    </w:tbl>
    <w:p w:rsidR="00E44AD0" w:rsidRPr="00F71715" w:rsidRDefault="00E44AD0" w:rsidP="00E44AD0"/>
    <w:tbl>
      <w:tblPr>
        <w:tblW w:w="7655" w:type="dxa"/>
        <w:jc w:val="center"/>
        <w:tblInd w:w="-176" w:type="dxa"/>
        <w:tblLayout w:type="fixed"/>
        <w:tblLook w:val="0000" w:firstRow="0" w:lastRow="0" w:firstColumn="0" w:lastColumn="0" w:noHBand="0" w:noVBand="0"/>
      </w:tblPr>
      <w:tblGrid>
        <w:gridCol w:w="7655"/>
      </w:tblGrid>
      <w:tr w:rsidR="00E44AD0" w:rsidRPr="00F71715" w:rsidTr="007B10A1">
        <w:trPr>
          <w:jc w:val="center"/>
        </w:trPr>
        <w:tc>
          <w:tcPr>
            <w:tcW w:w="7655" w:type="dxa"/>
            <w:tcBorders>
              <w:top w:val="single" w:sz="4" w:space="0" w:color="000000"/>
              <w:left w:val="single" w:sz="4" w:space="0" w:color="000000"/>
              <w:bottom w:val="single" w:sz="4" w:space="0" w:color="000000"/>
              <w:right w:val="single" w:sz="4" w:space="0" w:color="000000"/>
            </w:tcBorders>
          </w:tcPr>
          <w:p w:rsidR="00E44AD0" w:rsidRPr="00F71715" w:rsidRDefault="00E44AD0" w:rsidP="007B10A1">
            <w:pPr>
              <w:shd w:val="clear" w:color="auto" w:fill="E0E0E0"/>
              <w:snapToGrid w:val="0"/>
              <w:rPr>
                <w:rFonts w:eastAsia="Times New Roman"/>
                <w:b/>
              </w:rPr>
            </w:pPr>
            <w:r w:rsidRPr="00F71715">
              <w:rPr>
                <w:rFonts w:eastAsia="Times New Roman"/>
                <w:b/>
              </w:rPr>
              <w:t>20. Reference points</w:t>
            </w:r>
          </w:p>
          <w:p w:rsidR="00E44AD0" w:rsidRPr="006C6D94" w:rsidRDefault="00E44AD0" w:rsidP="007B10A1">
            <w:pPr>
              <w:pStyle w:val="hbookbodytext"/>
            </w:pPr>
            <w:r w:rsidRPr="006C6D94">
              <w:t>The following reference points were used in designing the programme:</w:t>
            </w:r>
          </w:p>
          <w:p w:rsidR="00E44AD0" w:rsidRPr="006C6D94" w:rsidRDefault="00E44AD0" w:rsidP="007B10A1">
            <w:pPr>
              <w:pStyle w:val="hbookbodytext"/>
              <w:rPr>
                <w:color w:val="000000"/>
              </w:rPr>
            </w:pPr>
            <w:r w:rsidRPr="006C6D94">
              <w:t xml:space="preserve">Middlesex University Regulations </w:t>
            </w:r>
            <w:hyperlink r:id="rId8" w:history="1">
              <w:r w:rsidRPr="006C6D94">
                <w:rPr>
                  <w:rStyle w:val="Hyperlink"/>
                </w:rPr>
                <w:t>http://www.mdx.ac.uk/regulations/</w:t>
              </w:r>
            </w:hyperlink>
          </w:p>
          <w:p w:rsidR="00E44AD0" w:rsidRPr="006C6D94" w:rsidRDefault="00E44AD0" w:rsidP="007B10A1">
            <w:pPr>
              <w:pStyle w:val="hbookbodytext"/>
              <w:rPr>
                <w:color w:val="000000"/>
              </w:rPr>
            </w:pPr>
            <w:r w:rsidRPr="006C6D94">
              <w:rPr>
                <w:color w:val="000000"/>
              </w:rPr>
              <w:t>QAA level descriptors and benchmark statement.</w:t>
            </w:r>
          </w:p>
          <w:p w:rsidR="00E44AD0" w:rsidRPr="006C6D94" w:rsidRDefault="00E44AD0" w:rsidP="007B10A1">
            <w:pPr>
              <w:pStyle w:val="hbookbodytext"/>
            </w:pPr>
            <w:r w:rsidRPr="006C6D94">
              <w:t>Student, Staff, External Examiners’ and Graduates’ feedback and comments</w:t>
            </w:r>
          </w:p>
          <w:p w:rsidR="00E44AD0" w:rsidRPr="00F71715" w:rsidRDefault="00E44AD0" w:rsidP="007B10A1">
            <w:pPr>
              <w:rPr>
                <w:rFonts w:eastAsia="Times New Roman"/>
              </w:rPr>
            </w:pPr>
            <w:r w:rsidRPr="006C6D94">
              <w:t>Middlesex University Learning and Teaching Policy and Strategy; the Corporate Plan</w:t>
            </w:r>
          </w:p>
        </w:tc>
      </w:tr>
    </w:tbl>
    <w:p w:rsidR="00E44AD0" w:rsidRPr="00F71715" w:rsidRDefault="00E44AD0" w:rsidP="00E44AD0"/>
    <w:tbl>
      <w:tblPr>
        <w:tblW w:w="7655" w:type="dxa"/>
        <w:jc w:val="center"/>
        <w:tblInd w:w="-176" w:type="dxa"/>
        <w:tblLayout w:type="fixed"/>
        <w:tblLook w:val="0000" w:firstRow="0" w:lastRow="0" w:firstColumn="0" w:lastColumn="0" w:noHBand="0" w:noVBand="0"/>
      </w:tblPr>
      <w:tblGrid>
        <w:gridCol w:w="7655"/>
      </w:tblGrid>
      <w:tr w:rsidR="00E44AD0"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E44AD0" w:rsidRPr="00F71715" w:rsidRDefault="00E44AD0" w:rsidP="007B10A1">
            <w:pPr>
              <w:pStyle w:val="FootnoteText"/>
              <w:snapToGrid w:val="0"/>
              <w:rPr>
                <w:b/>
                <w:sz w:val="22"/>
              </w:rPr>
            </w:pPr>
            <w:r w:rsidRPr="00F71715">
              <w:rPr>
                <w:b/>
                <w:sz w:val="22"/>
              </w:rPr>
              <w:t>21. Other information</w:t>
            </w:r>
          </w:p>
        </w:tc>
      </w:tr>
      <w:tr w:rsidR="00E44AD0" w:rsidRPr="00F71715" w:rsidTr="007B10A1">
        <w:trPr>
          <w:jc w:val="center"/>
        </w:trPr>
        <w:tc>
          <w:tcPr>
            <w:tcW w:w="7655" w:type="dxa"/>
            <w:tcBorders>
              <w:left w:val="single" w:sz="4" w:space="0" w:color="000000"/>
              <w:bottom w:val="single" w:sz="4" w:space="0" w:color="000000"/>
              <w:right w:val="single" w:sz="4" w:space="0" w:color="000000"/>
            </w:tcBorders>
          </w:tcPr>
          <w:p w:rsidR="00E44AD0" w:rsidRPr="00F71715" w:rsidRDefault="00E44AD0" w:rsidP="007B10A1">
            <w:pPr>
              <w:rPr>
                <w:b/>
                <w:i/>
              </w:rPr>
            </w:pPr>
          </w:p>
        </w:tc>
      </w:tr>
    </w:tbl>
    <w:p w:rsidR="00E44AD0" w:rsidRDefault="00E44AD0" w:rsidP="00E44AD0">
      <w:pPr>
        <w:ind w:right="-285"/>
        <w:rPr>
          <w:sz w:val="18"/>
          <w:szCs w:val="18"/>
        </w:rPr>
      </w:pPr>
    </w:p>
    <w:p w:rsidR="00E44AD0" w:rsidRDefault="00E44AD0" w:rsidP="00E44AD0">
      <w:pPr>
        <w:pBdr>
          <w:top w:val="single" w:sz="4" w:space="1" w:color="auto"/>
          <w:left w:val="single" w:sz="4" w:space="17" w:color="auto"/>
          <w:bottom w:val="single" w:sz="4" w:space="1" w:color="auto"/>
          <w:right w:val="single" w:sz="4" w:space="18" w:color="auto"/>
        </w:pBdr>
        <w:rPr>
          <w:szCs w:val="18"/>
        </w:rPr>
      </w:pPr>
      <w:r w:rsidRPr="007F5C6C">
        <w:rPr>
          <w:szCs w:val="18"/>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797A80" w:rsidRDefault="00797A80"/>
    <w:sectPr w:rsidR="00797A80" w:rsidSect="00797A8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1319D6"/>
    <w:multiLevelType w:val="hybridMultilevel"/>
    <w:tmpl w:val="1CF08D9A"/>
    <w:lvl w:ilvl="0" w:tplc="DACA33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5A3A4C"/>
    <w:multiLevelType w:val="hybridMultilevel"/>
    <w:tmpl w:val="568EE6F8"/>
    <w:lvl w:ilvl="0" w:tplc="B46C20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5009E8"/>
    <w:multiLevelType w:val="hybridMultilevel"/>
    <w:tmpl w:val="3ED4C0D8"/>
    <w:lvl w:ilvl="0" w:tplc="B46C20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216698"/>
    <w:multiLevelType w:val="multilevel"/>
    <w:tmpl w:val="BFDE441A"/>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D0"/>
    <w:rsid w:val="00797A80"/>
    <w:rsid w:val="00E44A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8F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D0"/>
    <w:pPr>
      <w:suppressAutoHyphens/>
    </w:pPr>
    <w:rPr>
      <w:rFonts w:ascii="Arial" w:eastAsia="Times" w:hAnsi="Arial" w:cs="Arial"/>
      <w:sz w:val="22"/>
      <w:szCs w:val="22"/>
      <w:lang w:val="en-GB" w:eastAsia="ar-SA"/>
    </w:rPr>
  </w:style>
  <w:style w:type="paragraph" w:styleId="Heading1">
    <w:name w:val="heading 1"/>
    <w:aliases w:val="Chapter heading,MDHeading 1"/>
    <w:basedOn w:val="Normal"/>
    <w:next w:val="Normal"/>
    <w:link w:val="Heading1Char"/>
    <w:qFormat/>
    <w:rsid w:val="00E44AD0"/>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E44AD0"/>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AD0"/>
    <w:rPr>
      <w:rFonts w:ascii="Arial" w:eastAsia="Times" w:hAnsi="Arial" w:cs="Arial"/>
      <w:b/>
      <w:bCs/>
      <w:kern w:val="1"/>
      <w:sz w:val="28"/>
      <w:szCs w:val="28"/>
      <w:lang w:val="en-GB" w:eastAsia="ar-SA"/>
    </w:rPr>
  </w:style>
  <w:style w:type="character" w:customStyle="1" w:styleId="Heading2Char">
    <w:name w:val="Heading 2 Char"/>
    <w:basedOn w:val="DefaultParagraphFont"/>
    <w:link w:val="Heading2"/>
    <w:rsid w:val="00E44AD0"/>
    <w:rPr>
      <w:rFonts w:ascii="Arial" w:eastAsia="Times" w:hAnsi="Arial" w:cs="Arial"/>
      <w:b/>
      <w:bCs/>
      <w:sz w:val="22"/>
      <w:szCs w:val="22"/>
      <w:lang w:val="en-GB" w:eastAsia="ar-SA"/>
    </w:rPr>
  </w:style>
  <w:style w:type="character" w:styleId="Hyperlink">
    <w:name w:val="Hyperlink"/>
    <w:basedOn w:val="DefaultParagraphFont"/>
    <w:uiPriority w:val="99"/>
    <w:rsid w:val="00E44AD0"/>
    <w:rPr>
      <w:color w:val="0000FF"/>
      <w:u w:val="single"/>
    </w:rPr>
  </w:style>
  <w:style w:type="paragraph" w:styleId="BodyText">
    <w:name w:val="Body Text"/>
    <w:basedOn w:val="Normal"/>
    <w:link w:val="BodyTextChar"/>
    <w:uiPriority w:val="99"/>
    <w:rsid w:val="00E44AD0"/>
    <w:rPr>
      <w:rFonts w:eastAsia="Times New Roman"/>
    </w:rPr>
  </w:style>
  <w:style w:type="character" w:customStyle="1" w:styleId="BodyTextChar">
    <w:name w:val="Body Text Char"/>
    <w:basedOn w:val="DefaultParagraphFont"/>
    <w:link w:val="BodyText"/>
    <w:uiPriority w:val="99"/>
    <w:rsid w:val="00E44AD0"/>
    <w:rPr>
      <w:rFonts w:ascii="Arial" w:eastAsia="Times New Roman" w:hAnsi="Arial" w:cs="Arial"/>
      <w:sz w:val="22"/>
      <w:szCs w:val="22"/>
      <w:lang w:val="en-GB" w:eastAsia="ar-SA"/>
    </w:rPr>
  </w:style>
  <w:style w:type="paragraph" w:customStyle="1" w:styleId="hbookbodytext">
    <w:name w:val="h/book body text"/>
    <w:basedOn w:val="Normal"/>
    <w:rsid w:val="00E44AD0"/>
    <w:pPr>
      <w:spacing w:after="80" w:line="260" w:lineRule="exact"/>
    </w:pPr>
  </w:style>
  <w:style w:type="paragraph" w:styleId="FootnoteText">
    <w:name w:val="footnote text"/>
    <w:basedOn w:val="Normal"/>
    <w:link w:val="FootnoteTextChar"/>
    <w:uiPriority w:val="99"/>
    <w:semiHidden/>
    <w:rsid w:val="00E44AD0"/>
    <w:rPr>
      <w:rFonts w:eastAsia="Times New Roman"/>
      <w:sz w:val="20"/>
      <w:szCs w:val="20"/>
    </w:rPr>
  </w:style>
  <w:style w:type="character" w:customStyle="1" w:styleId="FootnoteTextChar">
    <w:name w:val="Footnote Text Char"/>
    <w:basedOn w:val="DefaultParagraphFont"/>
    <w:link w:val="FootnoteText"/>
    <w:uiPriority w:val="99"/>
    <w:semiHidden/>
    <w:rsid w:val="00E44AD0"/>
    <w:rPr>
      <w:rFonts w:ascii="Arial" w:eastAsia="Times New Roman" w:hAnsi="Arial" w:cs="Arial"/>
      <w:sz w:val="20"/>
      <w:szCs w:val="20"/>
      <w:lang w:val="en-GB" w:eastAsia="ar-SA"/>
    </w:rPr>
  </w:style>
  <w:style w:type="paragraph" w:styleId="BodyText3">
    <w:name w:val="Body Text 3"/>
    <w:basedOn w:val="Normal"/>
    <w:link w:val="BodyText3Char"/>
    <w:rsid w:val="00E44AD0"/>
    <w:pPr>
      <w:spacing w:after="120"/>
    </w:pPr>
    <w:rPr>
      <w:sz w:val="16"/>
      <w:szCs w:val="16"/>
    </w:rPr>
  </w:style>
  <w:style w:type="character" w:customStyle="1" w:styleId="BodyText3Char">
    <w:name w:val="Body Text 3 Char"/>
    <w:basedOn w:val="DefaultParagraphFont"/>
    <w:link w:val="BodyText3"/>
    <w:rsid w:val="00E44AD0"/>
    <w:rPr>
      <w:rFonts w:ascii="Arial" w:eastAsia="Times" w:hAnsi="Arial" w:cs="Arial"/>
      <w:sz w:val="16"/>
      <w:szCs w:val="16"/>
      <w:lang w:val="en-GB" w:eastAsia="ar-SA"/>
    </w:rPr>
  </w:style>
  <w:style w:type="paragraph" w:customStyle="1" w:styleId="Heading1PH">
    <w:name w:val="Heading 1 PH"/>
    <w:basedOn w:val="Heading1"/>
    <w:link w:val="Heading1PHChar"/>
    <w:qFormat/>
    <w:rsid w:val="00E44AD0"/>
    <w:pPr>
      <w:pBdr>
        <w:bottom w:val="none" w:sz="0" w:space="0" w:color="auto"/>
      </w:pBdr>
      <w:spacing w:after="0"/>
    </w:pPr>
    <w:rPr>
      <w:sz w:val="40"/>
      <w:szCs w:val="40"/>
    </w:rPr>
  </w:style>
  <w:style w:type="character" w:customStyle="1" w:styleId="Heading1PHChar">
    <w:name w:val="Heading 1 PH Char"/>
    <w:basedOn w:val="DefaultParagraphFont"/>
    <w:link w:val="Heading1PH"/>
    <w:rsid w:val="00E44AD0"/>
    <w:rPr>
      <w:rFonts w:ascii="Arial" w:eastAsia="Times" w:hAnsi="Arial" w:cs="Arial"/>
      <w:b/>
      <w:bCs/>
      <w:kern w:val="1"/>
      <w:sz w:val="40"/>
      <w:szCs w:val="40"/>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D0"/>
    <w:pPr>
      <w:suppressAutoHyphens/>
    </w:pPr>
    <w:rPr>
      <w:rFonts w:ascii="Arial" w:eastAsia="Times" w:hAnsi="Arial" w:cs="Arial"/>
      <w:sz w:val="22"/>
      <w:szCs w:val="22"/>
      <w:lang w:val="en-GB" w:eastAsia="ar-SA"/>
    </w:rPr>
  </w:style>
  <w:style w:type="paragraph" w:styleId="Heading1">
    <w:name w:val="heading 1"/>
    <w:aliases w:val="Chapter heading,MDHeading 1"/>
    <w:basedOn w:val="Normal"/>
    <w:next w:val="Normal"/>
    <w:link w:val="Heading1Char"/>
    <w:qFormat/>
    <w:rsid w:val="00E44AD0"/>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E44AD0"/>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AD0"/>
    <w:rPr>
      <w:rFonts w:ascii="Arial" w:eastAsia="Times" w:hAnsi="Arial" w:cs="Arial"/>
      <w:b/>
      <w:bCs/>
      <w:kern w:val="1"/>
      <w:sz w:val="28"/>
      <w:szCs w:val="28"/>
      <w:lang w:val="en-GB" w:eastAsia="ar-SA"/>
    </w:rPr>
  </w:style>
  <w:style w:type="character" w:customStyle="1" w:styleId="Heading2Char">
    <w:name w:val="Heading 2 Char"/>
    <w:basedOn w:val="DefaultParagraphFont"/>
    <w:link w:val="Heading2"/>
    <w:rsid w:val="00E44AD0"/>
    <w:rPr>
      <w:rFonts w:ascii="Arial" w:eastAsia="Times" w:hAnsi="Arial" w:cs="Arial"/>
      <w:b/>
      <w:bCs/>
      <w:sz w:val="22"/>
      <w:szCs w:val="22"/>
      <w:lang w:val="en-GB" w:eastAsia="ar-SA"/>
    </w:rPr>
  </w:style>
  <w:style w:type="character" w:styleId="Hyperlink">
    <w:name w:val="Hyperlink"/>
    <w:basedOn w:val="DefaultParagraphFont"/>
    <w:uiPriority w:val="99"/>
    <w:rsid w:val="00E44AD0"/>
    <w:rPr>
      <w:color w:val="0000FF"/>
      <w:u w:val="single"/>
    </w:rPr>
  </w:style>
  <w:style w:type="paragraph" w:styleId="BodyText">
    <w:name w:val="Body Text"/>
    <w:basedOn w:val="Normal"/>
    <w:link w:val="BodyTextChar"/>
    <w:uiPriority w:val="99"/>
    <w:rsid w:val="00E44AD0"/>
    <w:rPr>
      <w:rFonts w:eastAsia="Times New Roman"/>
    </w:rPr>
  </w:style>
  <w:style w:type="character" w:customStyle="1" w:styleId="BodyTextChar">
    <w:name w:val="Body Text Char"/>
    <w:basedOn w:val="DefaultParagraphFont"/>
    <w:link w:val="BodyText"/>
    <w:uiPriority w:val="99"/>
    <w:rsid w:val="00E44AD0"/>
    <w:rPr>
      <w:rFonts w:ascii="Arial" w:eastAsia="Times New Roman" w:hAnsi="Arial" w:cs="Arial"/>
      <w:sz w:val="22"/>
      <w:szCs w:val="22"/>
      <w:lang w:val="en-GB" w:eastAsia="ar-SA"/>
    </w:rPr>
  </w:style>
  <w:style w:type="paragraph" w:customStyle="1" w:styleId="hbookbodytext">
    <w:name w:val="h/book body text"/>
    <w:basedOn w:val="Normal"/>
    <w:rsid w:val="00E44AD0"/>
    <w:pPr>
      <w:spacing w:after="80" w:line="260" w:lineRule="exact"/>
    </w:pPr>
  </w:style>
  <w:style w:type="paragraph" w:styleId="FootnoteText">
    <w:name w:val="footnote text"/>
    <w:basedOn w:val="Normal"/>
    <w:link w:val="FootnoteTextChar"/>
    <w:uiPriority w:val="99"/>
    <w:semiHidden/>
    <w:rsid w:val="00E44AD0"/>
    <w:rPr>
      <w:rFonts w:eastAsia="Times New Roman"/>
      <w:sz w:val="20"/>
      <w:szCs w:val="20"/>
    </w:rPr>
  </w:style>
  <w:style w:type="character" w:customStyle="1" w:styleId="FootnoteTextChar">
    <w:name w:val="Footnote Text Char"/>
    <w:basedOn w:val="DefaultParagraphFont"/>
    <w:link w:val="FootnoteText"/>
    <w:uiPriority w:val="99"/>
    <w:semiHidden/>
    <w:rsid w:val="00E44AD0"/>
    <w:rPr>
      <w:rFonts w:ascii="Arial" w:eastAsia="Times New Roman" w:hAnsi="Arial" w:cs="Arial"/>
      <w:sz w:val="20"/>
      <w:szCs w:val="20"/>
      <w:lang w:val="en-GB" w:eastAsia="ar-SA"/>
    </w:rPr>
  </w:style>
  <w:style w:type="paragraph" w:styleId="BodyText3">
    <w:name w:val="Body Text 3"/>
    <w:basedOn w:val="Normal"/>
    <w:link w:val="BodyText3Char"/>
    <w:rsid w:val="00E44AD0"/>
    <w:pPr>
      <w:spacing w:after="120"/>
    </w:pPr>
    <w:rPr>
      <w:sz w:val="16"/>
      <w:szCs w:val="16"/>
    </w:rPr>
  </w:style>
  <w:style w:type="character" w:customStyle="1" w:styleId="BodyText3Char">
    <w:name w:val="Body Text 3 Char"/>
    <w:basedOn w:val="DefaultParagraphFont"/>
    <w:link w:val="BodyText3"/>
    <w:rsid w:val="00E44AD0"/>
    <w:rPr>
      <w:rFonts w:ascii="Arial" w:eastAsia="Times" w:hAnsi="Arial" w:cs="Arial"/>
      <w:sz w:val="16"/>
      <w:szCs w:val="16"/>
      <w:lang w:val="en-GB" w:eastAsia="ar-SA"/>
    </w:rPr>
  </w:style>
  <w:style w:type="paragraph" w:customStyle="1" w:styleId="Heading1PH">
    <w:name w:val="Heading 1 PH"/>
    <w:basedOn w:val="Heading1"/>
    <w:link w:val="Heading1PHChar"/>
    <w:qFormat/>
    <w:rsid w:val="00E44AD0"/>
    <w:pPr>
      <w:pBdr>
        <w:bottom w:val="none" w:sz="0" w:space="0" w:color="auto"/>
      </w:pBdr>
      <w:spacing w:after="0"/>
    </w:pPr>
    <w:rPr>
      <w:sz w:val="40"/>
      <w:szCs w:val="40"/>
    </w:rPr>
  </w:style>
  <w:style w:type="character" w:customStyle="1" w:styleId="Heading1PHChar">
    <w:name w:val="Heading 1 PH Char"/>
    <w:basedOn w:val="DefaultParagraphFont"/>
    <w:link w:val="Heading1PH"/>
    <w:rsid w:val="00E44AD0"/>
    <w:rPr>
      <w:rFonts w:ascii="Arial" w:eastAsia="Times" w:hAnsi="Arial" w:cs="Arial"/>
      <w:b/>
      <w:bCs/>
      <w:kern w:val="1"/>
      <w:sz w:val="40"/>
      <w:szCs w:val="4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mdx.ac.uk/regulations" TargetMode="External"/><Relationship Id="rId8" Type="http://schemas.openxmlformats.org/officeDocument/2006/relationships/hyperlink" Target="http://www.mdx.ac.uk/regulatio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1750</Words>
  <Characters>9978</Characters>
  <Application>Microsoft Macintosh Word</Application>
  <DocSecurity>0</DocSecurity>
  <Lines>83</Lines>
  <Paragraphs>23</Paragraphs>
  <ScaleCrop>false</ScaleCrop>
  <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Stankov</dc:creator>
  <cp:keywords/>
  <dc:description/>
  <cp:lastModifiedBy>Ivor  Stankov</cp:lastModifiedBy>
  <cp:revision>1</cp:revision>
  <dcterms:created xsi:type="dcterms:W3CDTF">2013-03-03T20:28:00Z</dcterms:created>
  <dcterms:modified xsi:type="dcterms:W3CDTF">2013-03-03T20:29:00Z</dcterms:modified>
</cp:coreProperties>
</file>