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D3" w:rsidRDefault="003A56D3" w:rsidP="003A56D3">
      <w:pPr>
        <w:pStyle w:val="Heading1PH"/>
      </w:pPr>
      <w:bookmarkStart w:id="0" w:name="_Toc241584840"/>
      <w:bookmarkStart w:id="1" w:name="_Toc231355288"/>
      <w:bookmarkStart w:id="2" w:name="_Toc294704786"/>
      <w:r>
        <w:rPr>
          <w:b w:val="0"/>
          <w:bCs w:val="0"/>
          <w:noProof/>
          <w:lang w:eastAsia="zh-CN"/>
        </w:rPr>
        <w:drawing>
          <wp:anchor distT="0" distB="0" distL="114300" distR="114300" simplePos="0" relativeHeight="251659264" behindDoc="1" locked="0" layoutInCell="1" allowOverlap="1">
            <wp:simplePos x="0" y="0"/>
            <wp:positionH relativeFrom="column">
              <wp:posOffset>3235960</wp:posOffset>
            </wp:positionH>
            <wp:positionV relativeFrom="paragraph">
              <wp:posOffset>12065</wp:posOffset>
            </wp:positionV>
            <wp:extent cx="1331595" cy="581025"/>
            <wp:effectExtent l="0" t="0" r="0" b="3175"/>
            <wp:wrapThrough wrapText="bothSides">
              <wp:wrapPolygon edited="0">
                <wp:start x="0" y="0"/>
                <wp:lineTo x="0" y="20774"/>
                <wp:lineTo x="21013" y="20774"/>
                <wp:lineTo x="2101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61154" t="21829" r="8757" b="54868"/>
                    <a:stretch>
                      <a:fillRect/>
                    </a:stretch>
                  </pic:blipFill>
                  <pic:spPr bwMode="auto">
                    <a:xfrm>
                      <a:off x="0" y="0"/>
                      <a:ext cx="1331595" cy="581025"/>
                    </a:xfrm>
                    <a:prstGeom prst="rect">
                      <a:avLst/>
                    </a:prstGeom>
                    <a:noFill/>
                    <a:ln>
                      <a:noFill/>
                    </a:ln>
                  </pic:spPr>
                </pic:pic>
              </a:graphicData>
            </a:graphic>
          </wp:anchor>
        </w:drawing>
      </w:r>
      <w:r w:rsidRPr="00465E0A">
        <w:t>Programme Specification and Curriculum Map fo</w:t>
      </w:r>
      <w:r>
        <w:t xml:space="preserve">r MSc Electronic Security </w:t>
      </w:r>
    </w:p>
    <w:p w:rsidR="003A56D3" w:rsidRPr="00465E0A" w:rsidRDefault="003A56D3" w:rsidP="003A56D3">
      <w:pPr>
        <w:pStyle w:val="Heading1PH"/>
      </w:pPr>
      <w:r>
        <w:t>and Digital Forensics</w:t>
      </w:r>
      <w:bookmarkEnd w:id="0"/>
      <w:bookmarkEnd w:id="1"/>
      <w:bookmarkEnd w:id="2"/>
    </w:p>
    <w:p w:rsidR="003A56D3" w:rsidRPr="00465E0A" w:rsidRDefault="003A56D3" w:rsidP="003A56D3"/>
    <w:tbl>
      <w:tblPr>
        <w:tblW w:w="7124" w:type="dxa"/>
        <w:jc w:val="center"/>
        <w:tblInd w:w="-176" w:type="dxa"/>
        <w:tblLayout w:type="fixed"/>
        <w:tblLook w:val="0000"/>
      </w:tblPr>
      <w:tblGrid>
        <w:gridCol w:w="3431"/>
        <w:gridCol w:w="3693"/>
      </w:tblGrid>
      <w:tr w:rsidR="003A56D3" w:rsidRPr="00465E0A" w:rsidTr="007E7777">
        <w:trPr>
          <w:jc w:val="center"/>
        </w:trPr>
        <w:tc>
          <w:tcPr>
            <w:tcW w:w="3431" w:type="dxa"/>
            <w:tcBorders>
              <w:top w:val="single" w:sz="4" w:space="0" w:color="000000"/>
              <w:left w:val="single" w:sz="4" w:space="0" w:color="000000"/>
              <w:bottom w:val="single" w:sz="8" w:space="0" w:color="FFFFFF"/>
            </w:tcBorders>
            <w:shd w:val="clear" w:color="auto" w:fill="DFDFDF"/>
          </w:tcPr>
          <w:p w:rsidR="003A56D3" w:rsidRPr="00535218" w:rsidRDefault="003A56D3" w:rsidP="007E7777">
            <w:pPr>
              <w:rPr>
                <w:b/>
              </w:rPr>
            </w:pPr>
            <w:r w:rsidRPr="00535218">
              <w:rPr>
                <w:b/>
              </w:rPr>
              <w:t>1. Programme title</w:t>
            </w:r>
          </w:p>
        </w:tc>
        <w:tc>
          <w:tcPr>
            <w:tcW w:w="3693" w:type="dxa"/>
            <w:tcBorders>
              <w:top w:val="single" w:sz="4" w:space="0" w:color="000000"/>
              <w:left w:val="single" w:sz="8" w:space="0" w:color="FFFFFF"/>
              <w:right w:val="single" w:sz="4" w:space="0" w:color="000000"/>
            </w:tcBorders>
          </w:tcPr>
          <w:p w:rsidR="003A56D3" w:rsidRPr="00D435C2" w:rsidRDefault="003A56D3" w:rsidP="007E7777">
            <w:r w:rsidRPr="00D435C2">
              <w:t>Electronic Security &amp; Digital Forensics</w:t>
            </w:r>
          </w:p>
        </w:tc>
      </w:tr>
      <w:tr w:rsidR="003A56D3" w:rsidRPr="00465E0A" w:rsidTr="007E7777">
        <w:trPr>
          <w:jc w:val="center"/>
        </w:trPr>
        <w:tc>
          <w:tcPr>
            <w:tcW w:w="3431" w:type="dxa"/>
            <w:tcBorders>
              <w:left w:val="single" w:sz="4" w:space="0" w:color="000000"/>
              <w:bottom w:val="single" w:sz="8" w:space="0" w:color="FFFFFF"/>
            </w:tcBorders>
            <w:shd w:val="clear" w:color="auto" w:fill="DFDFDF"/>
          </w:tcPr>
          <w:p w:rsidR="003A56D3" w:rsidRPr="00535218" w:rsidRDefault="003A56D3" w:rsidP="007E7777">
            <w:pPr>
              <w:rPr>
                <w:b/>
              </w:rPr>
            </w:pPr>
            <w:r w:rsidRPr="00535218">
              <w:rPr>
                <w:b/>
              </w:rPr>
              <w:t xml:space="preserve">2. Awarding institution </w:t>
            </w:r>
          </w:p>
        </w:tc>
        <w:tc>
          <w:tcPr>
            <w:tcW w:w="3693" w:type="dxa"/>
            <w:tcBorders>
              <w:left w:val="single" w:sz="8" w:space="0" w:color="FFFFFF"/>
              <w:right w:val="single" w:sz="4" w:space="0" w:color="000000"/>
            </w:tcBorders>
          </w:tcPr>
          <w:p w:rsidR="003A56D3" w:rsidRPr="00D435C2" w:rsidRDefault="003A56D3" w:rsidP="007E7777">
            <w:r w:rsidRPr="00D435C2">
              <w:t>Middlesex University</w:t>
            </w:r>
          </w:p>
        </w:tc>
      </w:tr>
      <w:tr w:rsidR="003A56D3" w:rsidRPr="00465E0A" w:rsidTr="007E7777">
        <w:trPr>
          <w:jc w:val="center"/>
        </w:trPr>
        <w:tc>
          <w:tcPr>
            <w:tcW w:w="3431" w:type="dxa"/>
            <w:tcBorders>
              <w:left w:val="single" w:sz="4" w:space="0" w:color="000000"/>
              <w:bottom w:val="single" w:sz="8" w:space="0" w:color="FFFFFF"/>
            </w:tcBorders>
            <w:shd w:val="clear" w:color="auto" w:fill="DFDFDF"/>
          </w:tcPr>
          <w:p w:rsidR="003A56D3" w:rsidRPr="00535218" w:rsidRDefault="003A56D3" w:rsidP="007E7777">
            <w:pPr>
              <w:rPr>
                <w:b/>
              </w:rPr>
            </w:pPr>
            <w:r w:rsidRPr="00535218">
              <w:rPr>
                <w:b/>
              </w:rPr>
              <w:t xml:space="preserve">3. Teaching institution </w:t>
            </w:r>
          </w:p>
        </w:tc>
        <w:tc>
          <w:tcPr>
            <w:tcW w:w="3693" w:type="dxa"/>
            <w:tcBorders>
              <w:left w:val="single" w:sz="8" w:space="0" w:color="FFFFFF"/>
              <w:right w:val="single" w:sz="4" w:space="0" w:color="000000"/>
            </w:tcBorders>
          </w:tcPr>
          <w:p w:rsidR="003A56D3" w:rsidRPr="00D435C2" w:rsidRDefault="003A56D3" w:rsidP="007E7777">
            <w:r w:rsidRPr="00D435C2">
              <w:t>Middlesex University</w:t>
            </w:r>
          </w:p>
        </w:tc>
      </w:tr>
      <w:tr w:rsidR="003A56D3" w:rsidRPr="00465E0A" w:rsidTr="007E7777">
        <w:trPr>
          <w:jc w:val="center"/>
        </w:trPr>
        <w:tc>
          <w:tcPr>
            <w:tcW w:w="3431" w:type="dxa"/>
            <w:tcBorders>
              <w:left w:val="single" w:sz="4" w:space="0" w:color="000000"/>
              <w:bottom w:val="single" w:sz="8" w:space="0" w:color="FFFFFF"/>
            </w:tcBorders>
            <w:shd w:val="clear" w:color="auto" w:fill="DFDFDF"/>
          </w:tcPr>
          <w:p w:rsidR="003A56D3" w:rsidRPr="00535218" w:rsidRDefault="003A56D3" w:rsidP="007E7777">
            <w:pPr>
              <w:rPr>
                <w:b/>
              </w:rPr>
            </w:pPr>
            <w:r w:rsidRPr="00535218">
              <w:rPr>
                <w:b/>
              </w:rPr>
              <w:t xml:space="preserve">4. Programme accredited by </w:t>
            </w:r>
          </w:p>
        </w:tc>
        <w:tc>
          <w:tcPr>
            <w:tcW w:w="3693" w:type="dxa"/>
            <w:tcBorders>
              <w:left w:val="single" w:sz="8" w:space="0" w:color="FFFFFF"/>
              <w:right w:val="single" w:sz="4" w:space="0" w:color="000000"/>
            </w:tcBorders>
          </w:tcPr>
          <w:p w:rsidR="003A56D3" w:rsidRPr="00D435C2" w:rsidRDefault="003A56D3" w:rsidP="007E7777">
            <w:r w:rsidRPr="00D435C2">
              <w:t>N/A</w:t>
            </w:r>
          </w:p>
        </w:tc>
      </w:tr>
      <w:tr w:rsidR="003A56D3" w:rsidRPr="00465E0A" w:rsidTr="007E7777">
        <w:trPr>
          <w:jc w:val="center"/>
        </w:trPr>
        <w:tc>
          <w:tcPr>
            <w:tcW w:w="3431" w:type="dxa"/>
            <w:tcBorders>
              <w:left w:val="single" w:sz="4" w:space="0" w:color="000000"/>
              <w:bottom w:val="single" w:sz="8" w:space="0" w:color="FFFFFF"/>
            </w:tcBorders>
            <w:shd w:val="clear" w:color="auto" w:fill="DFDFDF"/>
          </w:tcPr>
          <w:p w:rsidR="003A56D3" w:rsidRPr="00535218" w:rsidRDefault="003A56D3" w:rsidP="007E7777">
            <w:pPr>
              <w:rPr>
                <w:b/>
              </w:rPr>
            </w:pPr>
            <w:r w:rsidRPr="00535218">
              <w:rPr>
                <w:b/>
              </w:rPr>
              <w:t xml:space="preserve">5. Final qualification </w:t>
            </w:r>
          </w:p>
        </w:tc>
        <w:tc>
          <w:tcPr>
            <w:tcW w:w="3693" w:type="dxa"/>
            <w:tcBorders>
              <w:left w:val="single" w:sz="8" w:space="0" w:color="FFFFFF"/>
              <w:right w:val="single" w:sz="4" w:space="0" w:color="000000"/>
            </w:tcBorders>
          </w:tcPr>
          <w:p w:rsidR="003A56D3" w:rsidRPr="00D435C2" w:rsidRDefault="003A56D3" w:rsidP="007E7777">
            <w:r w:rsidRPr="00D435C2">
              <w:t>MSc</w:t>
            </w:r>
          </w:p>
        </w:tc>
      </w:tr>
      <w:tr w:rsidR="003A56D3" w:rsidRPr="00465E0A" w:rsidTr="007E7777">
        <w:trPr>
          <w:jc w:val="center"/>
        </w:trPr>
        <w:tc>
          <w:tcPr>
            <w:tcW w:w="3431" w:type="dxa"/>
            <w:tcBorders>
              <w:left w:val="single" w:sz="4" w:space="0" w:color="000000"/>
            </w:tcBorders>
            <w:shd w:val="clear" w:color="auto" w:fill="DFDFDF"/>
          </w:tcPr>
          <w:p w:rsidR="003A56D3" w:rsidRPr="00535218" w:rsidRDefault="003A56D3" w:rsidP="007E7777">
            <w:pPr>
              <w:rPr>
                <w:b/>
              </w:rPr>
            </w:pPr>
            <w:r w:rsidRPr="00535218">
              <w:rPr>
                <w:b/>
              </w:rPr>
              <w:t>6. Academic year</w:t>
            </w:r>
          </w:p>
        </w:tc>
        <w:tc>
          <w:tcPr>
            <w:tcW w:w="3693" w:type="dxa"/>
            <w:tcBorders>
              <w:left w:val="single" w:sz="8" w:space="0" w:color="FFFFFF"/>
              <w:right w:val="single" w:sz="4" w:space="0" w:color="000000"/>
            </w:tcBorders>
          </w:tcPr>
          <w:p w:rsidR="003A56D3" w:rsidRPr="00D435C2" w:rsidRDefault="003A56D3" w:rsidP="007E7777">
            <w:r w:rsidRPr="00D435C2">
              <w:t>2013/14</w:t>
            </w:r>
          </w:p>
        </w:tc>
      </w:tr>
      <w:tr w:rsidR="003A56D3" w:rsidRPr="00465E0A" w:rsidTr="007E7777">
        <w:trPr>
          <w:jc w:val="center"/>
        </w:trPr>
        <w:tc>
          <w:tcPr>
            <w:tcW w:w="3431" w:type="dxa"/>
            <w:tcBorders>
              <w:top w:val="single" w:sz="8" w:space="0" w:color="FFFFFF"/>
              <w:left w:val="single" w:sz="4" w:space="0" w:color="000000"/>
            </w:tcBorders>
            <w:shd w:val="clear" w:color="auto" w:fill="DFDFDF"/>
          </w:tcPr>
          <w:p w:rsidR="003A56D3" w:rsidRPr="00535218" w:rsidRDefault="003A56D3" w:rsidP="007E7777">
            <w:pPr>
              <w:rPr>
                <w:b/>
              </w:rPr>
            </w:pPr>
            <w:r w:rsidRPr="00535218">
              <w:rPr>
                <w:b/>
              </w:rPr>
              <w:t>7. Language of study</w:t>
            </w:r>
          </w:p>
        </w:tc>
        <w:tc>
          <w:tcPr>
            <w:tcW w:w="3693" w:type="dxa"/>
            <w:tcBorders>
              <w:left w:val="single" w:sz="8" w:space="0" w:color="FFFFFF"/>
              <w:right w:val="single" w:sz="4" w:space="0" w:color="000000"/>
            </w:tcBorders>
          </w:tcPr>
          <w:p w:rsidR="003A56D3" w:rsidRPr="00D435C2" w:rsidRDefault="003A56D3" w:rsidP="007E7777">
            <w:r w:rsidRPr="00D435C2">
              <w:t>English</w:t>
            </w:r>
          </w:p>
        </w:tc>
      </w:tr>
      <w:tr w:rsidR="003A56D3" w:rsidRPr="00465E0A" w:rsidTr="007E7777">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3A56D3" w:rsidRPr="00535218" w:rsidRDefault="003A56D3" w:rsidP="007E7777">
            <w:pPr>
              <w:rPr>
                <w:b/>
              </w:rPr>
            </w:pPr>
            <w:r w:rsidRPr="00535218">
              <w:rPr>
                <w:b/>
              </w:rPr>
              <w:t>8. Mode of study</w:t>
            </w:r>
          </w:p>
        </w:tc>
        <w:tc>
          <w:tcPr>
            <w:tcW w:w="3693" w:type="dxa"/>
            <w:tcBorders>
              <w:left w:val="single" w:sz="8" w:space="0" w:color="FFFFFF"/>
              <w:bottom w:val="single" w:sz="4" w:space="0" w:color="000000"/>
              <w:right w:val="single" w:sz="4" w:space="0" w:color="000000"/>
            </w:tcBorders>
          </w:tcPr>
          <w:p w:rsidR="003A56D3" w:rsidRPr="00D435C2" w:rsidRDefault="003A56D3" w:rsidP="007E7777">
            <w:r w:rsidRPr="00D435C2">
              <w:t>Full Time and Part Time</w:t>
            </w:r>
          </w:p>
        </w:tc>
      </w:tr>
    </w:tbl>
    <w:p w:rsidR="003A56D3" w:rsidRPr="00465E0A" w:rsidRDefault="003A56D3" w:rsidP="003A56D3"/>
    <w:p w:rsidR="003A56D3" w:rsidRPr="00A0584D"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535218">
        <w:rPr>
          <w:b/>
        </w:rPr>
        <w:t>9. Criteria for admission to the programme</w:t>
      </w:r>
    </w:p>
    <w:p w:rsidR="003A56D3" w:rsidRPr="00D435C2" w:rsidRDefault="003A56D3" w:rsidP="003A56D3">
      <w:pPr>
        <w:pBdr>
          <w:top w:val="single" w:sz="4" w:space="1" w:color="auto"/>
          <w:left w:val="single" w:sz="4" w:space="4" w:color="auto"/>
          <w:bottom w:val="single" w:sz="4" w:space="1" w:color="auto"/>
          <w:right w:val="single" w:sz="4" w:space="4" w:color="auto"/>
        </w:pBdr>
        <w:ind w:right="-1"/>
      </w:pPr>
      <w:r w:rsidRPr="00D435C2">
        <w:t>The principal criteria for admission are that entrants are capable of working at postgraduate level and are able to succeed at, and benefit from, the programme.  The following would normally be considered appropriate entry qualifications:</w:t>
      </w:r>
    </w:p>
    <w:p w:rsidR="003A56D3" w:rsidRPr="00D435C2" w:rsidRDefault="003A56D3" w:rsidP="003A56D3">
      <w:pPr>
        <w:numPr>
          <w:ilvl w:val="0"/>
          <w:numId w:val="2"/>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right="-1" w:hanging="426"/>
      </w:pPr>
      <w:r w:rsidRPr="00D435C2">
        <w:t>An Honours Degree in a discipline related to the programme, such as relevant numerate subjects or those providing a significant exposure to Information Technology, or</w:t>
      </w:r>
    </w:p>
    <w:p w:rsidR="003A56D3" w:rsidRPr="00D435C2" w:rsidRDefault="003A56D3" w:rsidP="003A56D3">
      <w:pPr>
        <w:numPr>
          <w:ilvl w:val="0"/>
          <w:numId w:val="2"/>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right="-1" w:hanging="426"/>
      </w:pPr>
      <w:r w:rsidRPr="00D435C2">
        <w:t>An Honours Degree together with employment or professional experience in a field relevant to the programme and at an appropriate level in the field.</w:t>
      </w:r>
    </w:p>
    <w:p w:rsidR="003A56D3" w:rsidRPr="00D435C2" w:rsidRDefault="003A56D3" w:rsidP="003A56D3">
      <w:pPr>
        <w:pBdr>
          <w:top w:val="single" w:sz="4" w:space="1" w:color="auto"/>
          <w:left w:val="single" w:sz="4" w:space="4" w:color="auto"/>
          <w:bottom w:val="single" w:sz="4" w:space="1" w:color="auto"/>
          <w:right w:val="single" w:sz="4" w:space="4" w:color="auto"/>
        </w:pBdr>
        <w:spacing w:before="60" w:after="60"/>
        <w:ind w:right="-1"/>
        <w:rPr>
          <w:color w:val="000000"/>
        </w:rPr>
      </w:pPr>
      <w:r w:rsidRPr="00D435C2">
        <w:rPr>
          <w:color w:val="000000"/>
        </w:rPr>
        <w:t>International students whose first language is not English or who have not been taught in the English medium throughout must achieve an IELTS score of 6.5 or TOEFL 575 (paper based) 231 (computer based).</w:t>
      </w:r>
    </w:p>
    <w:p w:rsidR="003A56D3" w:rsidRPr="00D435C2" w:rsidRDefault="003A56D3" w:rsidP="003A56D3">
      <w:pPr>
        <w:pBdr>
          <w:top w:val="single" w:sz="4" w:space="1" w:color="auto"/>
          <w:left w:val="single" w:sz="4" w:space="4" w:color="auto"/>
          <w:bottom w:val="single" w:sz="4" w:space="1" w:color="auto"/>
          <w:right w:val="single" w:sz="4" w:space="4" w:color="auto"/>
        </w:pBdr>
        <w:ind w:right="-1"/>
      </w:pPr>
      <w:r w:rsidRPr="00D435C2">
        <w:t>University policies supporting students with disabilities apply, as described in the Guide and Regulations, ‘Information for Students with Disabilities’.</w:t>
      </w:r>
    </w:p>
    <w:p w:rsidR="003A56D3" w:rsidRPr="00D71A55"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D71A55">
        <w:rPr>
          <w:b/>
        </w:rPr>
        <w:lastRenderedPageBreak/>
        <w:t>10. Aims of the programme</w:t>
      </w:r>
    </w:p>
    <w:p w:rsidR="003A56D3" w:rsidRPr="00D71A55" w:rsidRDefault="003A56D3" w:rsidP="003A56D3">
      <w:pPr>
        <w:pBdr>
          <w:top w:val="single" w:sz="4" w:space="1" w:color="auto"/>
          <w:left w:val="single" w:sz="4" w:space="4" w:color="auto"/>
          <w:bottom w:val="single" w:sz="4" w:space="1" w:color="auto"/>
          <w:right w:val="single" w:sz="4" w:space="4" w:color="auto"/>
        </w:pBdr>
        <w:spacing w:after="60"/>
      </w:pPr>
      <w:r w:rsidRPr="00D71A55">
        <w:t>The programme aims to:</w:t>
      </w:r>
    </w:p>
    <w:p w:rsidR="003A56D3" w:rsidRPr="00D71A5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ind w:left="426" w:hanging="426"/>
        <w:rPr>
          <w:color w:val="000000"/>
        </w:rPr>
      </w:pPr>
      <w:r w:rsidRPr="00D71A55">
        <w:rPr>
          <w:color w:val="000000"/>
        </w:rPr>
        <w:t>Give students a sound theoretical and practical understanding of principles and concepts in electronic security and digital forensics.</w:t>
      </w:r>
    </w:p>
    <w:p w:rsidR="003A56D3" w:rsidRPr="00D71A5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spacing w:before="60"/>
        <w:ind w:left="426" w:hanging="426"/>
        <w:rPr>
          <w:color w:val="000000"/>
        </w:rPr>
      </w:pPr>
      <w:r w:rsidRPr="00D71A55">
        <w:rPr>
          <w:color w:val="000000"/>
        </w:rPr>
        <w:t>Equip students with relevant theoretical and practical understanding of tools and techniques necessary to effectively carry out a digital forensic investigation.</w:t>
      </w:r>
    </w:p>
    <w:p w:rsidR="003A56D3" w:rsidRPr="00D71A5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spacing w:before="60"/>
        <w:ind w:left="426" w:hanging="426"/>
        <w:rPr>
          <w:color w:val="000000"/>
        </w:rPr>
      </w:pPr>
      <w:r w:rsidRPr="00D71A55">
        <w:rPr>
          <w:color w:val="000000"/>
        </w:rPr>
        <w:t>Equip students with relevant knowledge, procedures and skills necessary for digital forensic investigations especially relating to computer incidents and computer misuse.</w:t>
      </w:r>
    </w:p>
    <w:p w:rsidR="003A56D3" w:rsidRPr="00D71A5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spacing w:before="60"/>
        <w:ind w:left="426" w:hanging="426"/>
        <w:rPr>
          <w:color w:val="000000"/>
        </w:rPr>
      </w:pPr>
      <w:r w:rsidRPr="00D71A55">
        <w:rPr>
          <w:color w:val="000000"/>
        </w:rPr>
        <w:t>Equip students with knowledge of legal and professional issues relevant to computer-</w:t>
      </w:r>
    </w:p>
    <w:p w:rsidR="003A56D3" w:rsidRPr="00D6224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spacing w:before="60"/>
        <w:ind w:left="426" w:hanging="426"/>
        <w:rPr>
          <w:color w:val="000000"/>
        </w:rPr>
      </w:pPr>
      <w:r w:rsidRPr="00D71A55">
        <w:rPr>
          <w:color w:val="000000"/>
        </w:rPr>
        <w:t>R</w:t>
      </w:r>
      <w:r w:rsidRPr="00D62245">
        <w:rPr>
          <w:color w:val="000000"/>
        </w:rPr>
        <w:t xml:space="preserve">elated crime, digital evidence and forensic investigations. </w:t>
      </w:r>
    </w:p>
    <w:p w:rsidR="003A56D3" w:rsidRPr="00D71A55" w:rsidRDefault="003A56D3" w:rsidP="003A56D3">
      <w:pPr>
        <w:numPr>
          <w:ilvl w:val="0"/>
          <w:numId w:val="3"/>
        </w:numPr>
        <w:pBdr>
          <w:top w:val="single" w:sz="4" w:space="1" w:color="auto"/>
          <w:left w:val="single" w:sz="4" w:space="4" w:color="auto"/>
          <w:bottom w:val="single" w:sz="4" w:space="1" w:color="auto"/>
          <w:right w:val="single" w:sz="4" w:space="4" w:color="auto"/>
        </w:pBdr>
        <w:tabs>
          <w:tab w:val="clear" w:pos="1440"/>
        </w:tabs>
        <w:suppressAutoHyphens w:val="0"/>
        <w:spacing w:before="60" w:after="60"/>
        <w:ind w:left="426" w:hanging="426"/>
        <w:rPr>
          <w:color w:val="000000"/>
        </w:rPr>
      </w:pPr>
      <w:r w:rsidRPr="00D71A55">
        <w:rPr>
          <w:color w:val="000000"/>
        </w:rPr>
        <w:t xml:space="preserve">Equip students with relevant knowledge of principles and concepts in information security management. </w:t>
      </w:r>
    </w:p>
    <w:p w:rsidR="003A56D3" w:rsidRPr="00D71A55" w:rsidRDefault="003A56D3" w:rsidP="003A56D3">
      <w:pPr>
        <w:pBdr>
          <w:top w:val="single" w:sz="4" w:space="1" w:color="auto"/>
          <w:left w:val="single" w:sz="4" w:space="4" w:color="auto"/>
          <w:bottom w:val="single" w:sz="4" w:space="1" w:color="auto"/>
          <w:right w:val="single" w:sz="4" w:space="4" w:color="auto"/>
        </w:pBdr>
      </w:pPr>
      <w:r w:rsidRPr="00D71A55">
        <w:rPr>
          <w:color w:val="000000"/>
        </w:rPr>
        <w:t>Develop critical, analytical and intellectual abilities of students by nurturing creative and independent thinking, and the ability to communicate clearly and coherently.</w:t>
      </w:r>
    </w:p>
    <w:p w:rsidR="003A56D3" w:rsidRPr="00465E0A" w:rsidRDefault="003A56D3" w:rsidP="003A56D3"/>
    <w:p w:rsidR="003A56D3" w:rsidRPr="008A139F"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8A139F">
        <w:rPr>
          <w:b/>
        </w:rPr>
        <w:t>11. Programme outcomes</w:t>
      </w:r>
    </w:p>
    <w:p w:rsidR="003A56D3" w:rsidRPr="00F112A9" w:rsidRDefault="003A56D3" w:rsidP="003A56D3">
      <w:pPr>
        <w:keepLines/>
        <w:pBdr>
          <w:top w:val="single" w:sz="4" w:space="1" w:color="auto"/>
          <w:left w:val="single" w:sz="4" w:space="4" w:color="auto"/>
          <w:bottom w:val="single" w:sz="4" w:space="1" w:color="auto"/>
          <w:right w:val="single" w:sz="4" w:space="4" w:color="auto"/>
        </w:pBdr>
        <w:spacing w:after="60"/>
        <w:rPr>
          <w:b/>
        </w:rPr>
      </w:pPr>
      <w:r w:rsidRPr="00F112A9">
        <w:rPr>
          <w:b/>
        </w:rPr>
        <w:t>A. Knowledge and understanding</w:t>
      </w:r>
    </w:p>
    <w:p w:rsidR="003A56D3" w:rsidRPr="00A0584D" w:rsidRDefault="003A56D3" w:rsidP="003A56D3">
      <w:pPr>
        <w:keepLines/>
        <w:pBdr>
          <w:top w:val="single" w:sz="4" w:space="1" w:color="auto"/>
          <w:left w:val="single" w:sz="4" w:space="4" w:color="auto"/>
          <w:bottom w:val="single" w:sz="4" w:space="1" w:color="auto"/>
          <w:right w:val="single" w:sz="4" w:space="4" w:color="auto"/>
        </w:pBdr>
        <w:spacing w:after="60"/>
      </w:pPr>
      <w:r>
        <w:t>On completion of this programme the successful student will have knowledge and understanding of:</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 xml:space="preserve">Tools and techniques necessary </w:t>
      </w:r>
      <w:proofErr w:type="spellStart"/>
      <w:r w:rsidRPr="00D71A55">
        <w:rPr>
          <w:color w:val="000000"/>
        </w:rPr>
        <w:t>forcarrying</w:t>
      </w:r>
      <w:proofErr w:type="spellEnd"/>
      <w:r w:rsidRPr="00D71A55">
        <w:rPr>
          <w:color w:val="000000"/>
        </w:rPr>
        <w:t xml:space="preserve"> out digital forensic </w:t>
      </w:r>
      <w:r w:rsidRPr="00D71A55">
        <w:rPr>
          <w:color w:val="000000"/>
        </w:rPr>
        <w:br/>
        <w:t>investigations.</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The nature, collection and handling of digital evidence in a forensic investigation.</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Methods and techniques for the analysis of digital evidence</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 xml:space="preserve">Electronic crime </w:t>
      </w:r>
      <w:proofErr w:type="spellStart"/>
      <w:r w:rsidRPr="00D71A55">
        <w:rPr>
          <w:color w:val="000000"/>
        </w:rPr>
        <w:t>investigationframeworks</w:t>
      </w:r>
      <w:proofErr w:type="spellEnd"/>
      <w:r w:rsidRPr="00D71A55">
        <w:rPr>
          <w:color w:val="000000"/>
        </w:rPr>
        <w:t xml:space="preserve">, guidelines and procedures. </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 xml:space="preserve">Legal and professional issues related to computer-related crime, digital evidence and digital forensic investigations </w:t>
      </w:r>
    </w:p>
    <w:p w:rsidR="003A56D3" w:rsidRPr="00D71A55" w:rsidRDefault="003A56D3" w:rsidP="003A56D3">
      <w:pPr>
        <w:numPr>
          <w:ilvl w:val="0"/>
          <w:numId w:val="4"/>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Principles and concepts of information security management.</w:t>
      </w:r>
    </w:p>
    <w:p w:rsidR="003A56D3" w:rsidRDefault="003A56D3" w:rsidP="003A56D3">
      <w:pPr>
        <w:keepLines/>
        <w:pBdr>
          <w:top w:val="single" w:sz="4" w:space="1" w:color="auto"/>
          <w:left w:val="single" w:sz="4" w:space="4" w:color="auto"/>
          <w:bottom w:val="single" w:sz="4" w:space="1" w:color="auto"/>
          <w:right w:val="single" w:sz="4" w:space="4" w:color="auto"/>
        </w:pBdr>
        <w:spacing w:after="80"/>
      </w:pPr>
    </w:p>
    <w:p w:rsidR="003A56D3" w:rsidRPr="008A139F" w:rsidRDefault="003A56D3" w:rsidP="003A56D3">
      <w:pPr>
        <w:keepLines/>
        <w:pBdr>
          <w:top w:val="single" w:sz="4" w:space="1" w:color="auto"/>
          <w:left w:val="single" w:sz="4" w:space="4" w:color="auto"/>
          <w:bottom w:val="single" w:sz="4" w:space="1" w:color="auto"/>
          <w:right w:val="single" w:sz="4" w:space="4" w:color="auto"/>
        </w:pBdr>
        <w:spacing w:after="80"/>
        <w:rPr>
          <w:b/>
          <w:i/>
        </w:rPr>
      </w:pPr>
      <w:r w:rsidRPr="008A139F">
        <w:rPr>
          <w:b/>
          <w:i/>
        </w:rPr>
        <w:lastRenderedPageBreak/>
        <w:t xml:space="preserve">Teaching/learning methods </w:t>
      </w:r>
    </w:p>
    <w:p w:rsidR="003A56D3" w:rsidRPr="00D71A55" w:rsidRDefault="003A56D3" w:rsidP="003A56D3">
      <w:pPr>
        <w:pBdr>
          <w:top w:val="single" w:sz="4" w:space="1" w:color="auto"/>
          <w:left w:val="single" w:sz="4" w:space="4" w:color="auto"/>
          <w:bottom w:val="single" w:sz="4" w:space="1" w:color="auto"/>
          <w:right w:val="single" w:sz="4" w:space="4" w:color="auto"/>
        </w:pBdr>
        <w:rPr>
          <w:color w:val="000000"/>
        </w:rPr>
      </w:pPr>
      <w:r w:rsidRPr="00D71A55">
        <w:rPr>
          <w:color w:val="000000"/>
        </w:rPr>
        <w:t xml:space="preserve">Students gain knowledge and understanding and develop cognitive skills and abilities through self directed, resource based learning, small group discussions, small group and individual exercises, lab sessions, demonstration software, on-line examples and the research project.  Weekly seminar sessions supported by the Local Study Centre Tutor(s) provide the opportunity to address questions, queries and problems. </w:t>
      </w:r>
    </w:p>
    <w:p w:rsidR="003A56D3" w:rsidRPr="00D71A55" w:rsidRDefault="003A56D3" w:rsidP="003A56D3">
      <w:pPr>
        <w:pBdr>
          <w:top w:val="single" w:sz="4" w:space="1" w:color="auto"/>
          <w:left w:val="single" w:sz="4" w:space="4" w:color="auto"/>
          <w:bottom w:val="single" w:sz="4" w:space="1" w:color="auto"/>
          <w:right w:val="single" w:sz="4" w:space="4" w:color="auto"/>
        </w:pBdr>
        <w:rPr>
          <w:color w:val="000000"/>
        </w:rPr>
      </w:pPr>
    </w:p>
    <w:p w:rsidR="003A56D3" w:rsidRPr="00D71A55" w:rsidRDefault="003A56D3" w:rsidP="003A56D3">
      <w:pPr>
        <w:pBdr>
          <w:top w:val="single" w:sz="4" w:space="1" w:color="auto"/>
          <w:left w:val="single" w:sz="4" w:space="4" w:color="auto"/>
          <w:bottom w:val="single" w:sz="4" w:space="1" w:color="auto"/>
          <w:right w:val="single" w:sz="4" w:space="4" w:color="auto"/>
        </w:pBdr>
        <w:rPr>
          <w:color w:val="000000"/>
        </w:rPr>
      </w:pPr>
      <w:r w:rsidRPr="00D71A55">
        <w:rPr>
          <w:color w:val="000000"/>
        </w:rPr>
        <w:t xml:space="preserve">Throughout their studies students are encouraged to undertake independent study both to supplement and consolidate what is being learnt and to broaden their individual knowledge and understanding of the subject. Critical evaluation and selection of methods, tools and solutions engage the students in relating theory to practice. </w:t>
      </w:r>
    </w:p>
    <w:p w:rsidR="003A56D3" w:rsidRDefault="003A56D3" w:rsidP="003A56D3">
      <w:pPr>
        <w:keepLines/>
        <w:pBdr>
          <w:top w:val="single" w:sz="4" w:space="1" w:color="auto"/>
          <w:left w:val="single" w:sz="4" w:space="4" w:color="auto"/>
          <w:bottom w:val="single" w:sz="4" w:space="1" w:color="auto"/>
          <w:right w:val="single" w:sz="4" w:space="4" w:color="auto"/>
        </w:pBdr>
      </w:pPr>
    </w:p>
    <w:p w:rsidR="003A56D3" w:rsidRPr="008A139F" w:rsidRDefault="003A56D3" w:rsidP="003A56D3">
      <w:pPr>
        <w:keepLines/>
        <w:pBdr>
          <w:top w:val="single" w:sz="4" w:space="1" w:color="auto"/>
          <w:left w:val="single" w:sz="4" w:space="4" w:color="auto"/>
          <w:bottom w:val="single" w:sz="4" w:space="1" w:color="auto"/>
          <w:right w:val="single" w:sz="4" w:space="4" w:color="auto"/>
        </w:pBdr>
        <w:spacing w:after="80"/>
        <w:rPr>
          <w:b/>
        </w:rPr>
      </w:pPr>
      <w:r w:rsidRPr="008A139F">
        <w:rPr>
          <w:b/>
        </w:rPr>
        <w:t>Assessment Method</w:t>
      </w:r>
      <w:r>
        <w:rPr>
          <w:b/>
        </w:rPr>
        <w:t>s</w:t>
      </w:r>
    </w:p>
    <w:p w:rsidR="003A56D3" w:rsidRPr="00D71A55" w:rsidRDefault="003A56D3" w:rsidP="003A56D3">
      <w:pPr>
        <w:keepLines/>
        <w:pBdr>
          <w:top w:val="single" w:sz="4" w:space="1" w:color="auto"/>
          <w:left w:val="single" w:sz="4" w:space="4" w:color="auto"/>
          <w:bottom w:val="single" w:sz="4" w:space="1" w:color="auto"/>
          <w:right w:val="single" w:sz="4" w:space="4" w:color="auto"/>
        </w:pBdr>
      </w:pPr>
      <w:r w:rsidRPr="00D71A55">
        <w:t>Students’ knowledge and understanding is assessed by:</w:t>
      </w:r>
      <w:r>
        <w:t xml:space="preserve"> </w:t>
      </w:r>
      <w:r w:rsidRPr="00D71A55">
        <w:rPr>
          <w:color w:val="000000"/>
        </w:rPr>
        <w:t xml:space="preserve">Individual coursework, presentations, the unseen examination and the project thesis assess students’ knowledge and understanding. </w:t>
      </w:r>
    </w:p>
    <w:p w:rsidR="003A56D3" w:rsidRPr="00F112A9" w:rsidRDefault="003A56D3" w:rsidP="003A56D3">
      <w:pPr>
        <w:keepLines/>
        <w:pBdr>
          <w:left w:val="single" w:sz="4" w:space="4" w:color="auto"/>
          <w:right w:val="single" w:sz="4" w:space="4" w:color="auto"/>
        </w:pBdr>
        <w:rPr>
          <w:b/>
        </w:rPr>
      </w:pPr>
      <w:r w:rsidRPr="00F112A9">
        <w:rPr>
          <w:b/>
        </w:rPr>
        <w:t>B. Cognitive (thinking) skills</w:t>
      </w:r>
    </w:p>
    <w:p w:rsidR="003A56D3" w:rsidRPr="00D71A55" w:rsidRDefault="003A56D3" w:rsidP="003A56D3">
      <w:pPr>
        <w:pBdr>
          <w:top w:val="single" w:sz="4" w:space="1" w:color="auto"/>
          <w:left w:val="single" w:sz="4" w:space="4" w:color="auto"/>
          <w:bottom w:val="single" w:sz="4" w:space="1" w:color="auto"/>
          <w:right w:val="single" w:sz="4" w:space="4" w:color="auto"/>
        </w:pBdr>
        <w:spacing w:after="60"/>
      </w:pPr>
      <w:r w:rsidRPr="00D71A55">
        <w:t>On completion of this programme the successful student will be able to:</w:t>
      </w:r>
    </w:p>
    <w:p w:rsidR="003A56D3" w:rsidRPr="00D71A55" w:rsidRDefault="003A56D3" w:rsidP="003A56D3">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Apply relevant tools and techniques to carry out a digital forensic investigation.</w:t>
      </w:r>
    </w:p>
    <w:p w:rsidR="003A56D3" w:rsidRPr="00D71A55" w:rsidRDefault="003A56D3" w:rsidP="003A56D3">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Investigate, collect and analyse relevant digital evidence from computing devices including mobile platforms.</w:t>
      </w:r>
    </w:p>
    <w:p w:rsidR="003A56D3" w:rsidRPr="00D71A55" w:rsidRDefault="003A56D3" w:rsidP="003A56D3">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 xml:space="preserve">Advise on proper procedures </w:t>
      </w:r>
      <w:proofErr w:type="spellStart"/>
      <w:r w:rsidRPr="00D71A55">
        <w:rPr>
          <w:color w:val="000000"/>
        </w:rPr>
        <w:t>forthe</w:t>
      </w:r>
      <w:proofErr w:type="spellEnd"/>
      <w:r w:rsidRPr="00D71A55">
        <w:rPr>
          <w:color w:val="000000"/>
        </w:rPr>
        <w:t xml:space="preserve"> handling, use and presentation of digital evidence.</w:t>
      </w:r>
    </w:p>
    <w:p w:rsidR="003A56D3" w:rsidRPr="00D71A55" w:rsidRDefault="003A56D3" w:rsidP="003A56D3">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proofErr w:type="gramStart"/>
      <w:r w:rsidRPr="00D71A55">
        <w:rPr>
          <w:color w:val="000000"/>
        </w:rPr>
        <w:t>Advise</w:t>
      </w:r>
      <w:proofErr w:type="gramEnd"/>
      <w:r w:rsidRPr="00D71A55">
        <w:rPr>
          <w:color w:val="000000"/>
        </w:rPr>
        <w:t xml:space="preserve"> on relevant legal </w:t>
      </w:r>
      <w:proofErr w:type="spellStart"/>
      <w:r w:rsidRPr="00D71A55">
        <w:rPr>
          <w:color w:val="000000"/>
        </w:rPr>
        <w:t>andprofessional</w:t>
      </w:r>
      <w:proofErr w:type="spellEnd"/>
      <w:r w:rsidRPr="00D71A55">
        <w:rPr>
          <w:color w:val="000000"/>
        </w:rPr>
        <w:t xml:space="preserve"> issues related to computer-related crime, digital evidence and digital forensic investigations.</w:t>
      </w:r>
    </w:p>
    <w:p w:rsidR="003A56D3" w:rsidRPr="00D71A55" w:rsidRDefault="003A56D3" w:rsidP="003A56D3">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color w:val="000000"/>
        </w:rPr>
      </w:pPr>
      <w:r w:rsidRPr="00D71A55">
        <w:rPr>
          <w:color w:val="000000"/>
        </w:rPr>
        <w:t xml:space="preserve">Manage information </w:t>
      </w:r>
      <w:proofErr w:type="spellStart"/>
      <w:r w:rsidRPr="00D71A55">
        <w:rPr>
          <w:color w:val="000000"/>
        </w:rPr>
        <w:t>securityprocedures</w:t>
      </w:r>
      <w:proofErr w:type="spellEnd"/>
      <w:r w:rsidRPr="00D71A55">
        <w:rPr>
          <w:color w:val="000000"/>
        </w:rPr>
        <w:t xml:space="preserve"> and processes. </w:t>
      </w:r>
    </w:p>
    <w:p w:rsidR="003A56D3" w:rsidRDefault="003A56D3" w:rsidP="003A56D3">
      <w:pPr>
        <w:keepLines/>
        <w:pBdr>
          <w:top w:val="single" w:sz="4" w:space="1" w:color="auto"/>
          <w:left w:val="single" w:sz="4" w:space="4" w:color="auto"/>
          <w:bottom w:val="single" w:sz="4" w:space="1" w:color="auto"/>
          <w:right w:val="single" w:sz="4" w:space="4" w:color="auto"/>
        </w:pBdr>
        <w:spacing w:before="60"/>
        <w:ind w:left="426" w:hanging="426"/>
        <w:rPr>
          <w:color w:val="000000"/>
        </w:rPr>
      </w:pPr>
      <w:r w:rsidRPr="00D71A55">
        <w:rPr>
          <w:color w:val="000000"/>
        </w:rPr>
        <w:t xml:space="preserve">6. </w:t>
      </w:r>
      <w:r>
        <w:rPr>
          <w:color w:val="000000"/>
        </w:rPr>
        <w:tab/>
        <w:t xml:space="preserve">Analyse information security </w:t>
      </w:r>
      <w:r w:rsidRPr="00D71A55">
        <w:rPr>
          <w:color w:val="000000"/>
        </w:rPr>
        <w:t>problems and implement effective solutions as an individual or in cooperation with others</w:t>
      </w:r>
    </w:p>
    <w:p w:rsidR="003A56D3" w:rsidRPr="00D71A55" w:rsidRDefault="003A56D3" w:rsidP="003A56D3">
      <w:pPr>
        <w:keepLines/>
        <w:pBdr>
          <w:top w:val="single" w:sz="4" w:space="1" w:color="auto"/>
          <w:left w:val="single" w:sz="4" w:space="4" w:color="auto"/>
          <w:bottom w:val="single" w:sz="4" w:space="1" w:color="auto"/>
          <w:right w:val="single" w:sz="4" w:space="4" w:color="auto"/>
        </w:pBdr>
        <w:rPr>
          <w:color w:val="000000"/>
        </w:rPr>
      </w:pPr>
    </w:p>
    <w:p w:rsidR="003A56D3" w:rsidRPr="008A139F" w:rsidRDefault="003A56D3" w:rsidP="003A56D3">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3A56D3" w:rsidRPr="00ED70CA" w:rsidRDefault="003A56D3" w:rsidP="003A56D3">
      <w:pPr>
        <w:pBdr>
          <w:top w:val="single" w:sz="4" w:space="1" w:color="auto"/>
          <w:left w:val="single" w:sz="4" w:space="4" w:color="auto"/>
          <w:bottom w:val="single" w:sz="4" w:space="1" w:color="auto"/>
          <w:right w:val="single" w:sz="4" w:space="4" w:color="auto"/>
        </w:pBdr>
        <w:rPr>
          <w:color w:val="000000"/>
        </w:rPr>
      </w:pPr>
      <w:r w:rsidRPr="00ED70CA">
        <w:rPr>
          <w:color w:val="000000"/>
        </w:rPr>
        <w:lastRenderedPageBreak/>
        <w:t xml:space="preserve">Students develop practical abilities through the teaching and learning programme outlined above.  These abilities are also nurtured through small group discussions, small group and individual exercises, laboratory sessions, demonstration software, on-line problem-solving examples and the research project.  </w:t>
      </w:r>
      <w:r w:rsidRPr="00ED70CA">
        <w:rPr>
          <w:color w:val="000000"/>
        </w:rPr>
        <w:br/>
      </w:r>
    </w:p>
    <w:p w:rsidR="003A56D3" w:rsidRPr="00ED70CA" w:rsidRDefault="003A56D3" w:rsidP="003A56D3">
      <w:pPr>
        <w:keepLines/>
        <w:pBdr>
          <w:top w:val="single" w:sz="4" w:space="1" w:color="auto"/>
          <w:left w:val="single" w:sz="4" w:space="4" w:color="auto"/>
          <w:bottom w:val="single" w:sz="4" w:space="1" w:color="auto"/>
          <w:right w:val="single" w:sz="4" w:space="4" w:color="auto"/>
        </w:pBdr>
        <w:spacing w:after="60"/>
        <w:rPr>
          <w:b/>
        </w:rPr>
      </w:pPr>
      <w:r w:rsidRPr="00ED70CA">
        <w:rPr>
          <w:b/>
        </w:rPr>
        <w:t>Assessment Method</w:t>
      </w:r>
    </w:p>
    <w:p w:rsidR="003A56D3" w:rsidRPr="00ED70CA" w:rsidRDefault="003A56D3" w:rsidP="003A56D3">
      <w:pPr>
        <w:pStyle w:val="BodyText3"/>
        <w:pBdr>
          <w:top w:val="single" w:sz="4" w:space="1" w:color="auto"/>
          <w:left w:val="single" w:sz="4" w:space="4" w:color="auto"/>
          <w:bottom w:val="single" w:sz="4" w:space="1" w:color="auto"/>
          <w:right w:val="single" w:sz="4" w:space="4" w:color="auto"/>
        </w:pBdr>
        <w:spacing w:after="0"/>
        <w:rPr>
          <w:color w:val="000000"/>
          <w:sz w:val="22"/>
          <w:szCs w:val="22"/>
        </w:rPr>
      </w:pPr>
      <w:r w:rsidRPr="00ED70CA">
        <w:rPr>
          <w:color w:val="000000"/>
          <w:sz w:val="22"/>
          <w:szCs w:val="22"/>
        </w:rPr>
        <w:t>Students’ practical abilities are principally assessed through coursework reports and the thesis report, with examination questions addressing aspects of practical abilities as appropriate to the subject material.</w:t>
      </w:r>
    </w:p>
    <w:p w:rsidR="003A56D3" w:rsidRPr="00F112A9" w:rsidRDefault="003A56D3" w:rsidP="003A56D3">
      <w:pPr>
        <w:keepLines/>
        <w:pBdr>
          <w:left w:val="single" w:sz="4" w:space="4" w:color="auto"/>
          <w:right w:val="single" w:sz="4" w:space="4" w:color="auto"/>
        </w:pBdr>
        <w:rPr>
          <w:b/>
        </w:rPr>
      </w:pPr>
      <w:r w:rsidRPr="00F112A9">
        <w:rPr>
          <w:b/>
        </w:rPr>
        <w:t>C. Practical skills</w:t>
      </w:r>
    </w:p>
    <w:p w:rsidR="003A56D3" w:rsidRPr="00430380" w:rsidRDefault="003A56D3" w:rsidP="003A56D3">
      <w:pPr>
        <w:pBdr>
          <w:top w:val="single" w:sz="4" w:space="1" w:color="auto"/>
          <w:left w:val="single" w:sz="4" w:space="4" w:color="auto"/>
          <w:bottom w:val="single" w:sz="4" w:space="1" w:color="auto"/>
          <w:right w:val="single" w:sz="4" w:space="4" w:color="auto"/>
        </w:pBdr>
      </w:pPr>
      <w:r w:rsidRPr="00430380">
        <w:t>On completion of the programme the succ</w:t>
      </w:r>
      <w:r>
        <w:t>essful student will be able to:</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rPr>
          <w:color w:val="000000"/>
        </w:rPr>
      </w:pPr>
      <w:r w:rsidRPr="00430380">
        <w:rPr>
          <w:color w:val="000000"/>
        </w:rPr>
        <w:t>Select and use a variety of modes of discourse for effective communication according to the needs of the intended audience.</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rPr>
          <w:color w:val="000000"/>
        </w:rPr>
      </w:pPr>
      <w:r w:rsidRPr="00430380">
        <w:rPr>
          <w:color w:val="000000"/>
        </w:rPr>
        <w:t>Perform effectively as a member of a team in complex and diverse working environments.</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rPr>
          <w:color w:val="000000"/>
        </w:rPr>
      </w:pPr>
      <w:r w:rsidRPr="00430380">
        <w:rPr>
          <w:color w:val="000000"/>
        </w:rPr>
        <w:t>Demonstrate a critical understanding of, and the ability to deploy effectively, a wide range of learning methods resources and technologies, including, but not limited to, Information and Communication Technologies.</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rPr>
          <w:color w:val="000000"/>
        </w:rPr>
      </w:pPr>
      <w:r w:rsidRPr="00430380">
        <w:rPr>
          <w:color w:val="000000"/>
        </w:rPr>
        <w:t>Manage their own learning and development autonomously, demonstrating time management and organisational skills at a professional level.</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rPr>
          <w:color w:val="000000"/>
        </w:rPr>
      </w:pPr>
      <w:r w:rsidRPr="00430380">
        <w:rPr>
          <w:color w:val="000000"/>
        </w:rPr>
        <w:t>Demonstrate self-direction and originality in learning and problem-solving in familiar and unfamiliar situations.</w:t>
      </w:r>
    </w:p>
    <w:p w:rsidR="003A56D3" w:rsidRPr="00430380" w:rsidRDefault="003A56D3" w:rsidP="003A56D3">
      <w:pPr>
        <w:pStyle w:val="ListParagraph"/>
        <w:numPr>
          <w:ilvl w:val="0"/>
          <w:numId w:val="14"/>
        </w:numPr>
        <w:pBdr>
          <w:top w:val="single" w:sz="4" w:space="1" w:color="auto"/>
          <w:left w:val="single" w:sz="4" w:space="4" w:color="auto"/>
          <w:bottom w:val="single" w:sz="4" w:space="1" w:color="auto"/>
          <w:right w:val="single" w:sz="4" w:space="4" w:color="auto"/>
        </w:pBdr>
        <w:spacing w:before="60"/>
        <w:ind w:left="426" w:hanging="426"/>
      </w:pPr>
      <w:r w:rsidRPr="00430380">
        <w:rPr>
          <w:color w:val="000000"/>
        </w:rPr>
        <w:t xml:space="preserve">Appreciate the need for continuing professional development in </w:t>
      </w:r>
      <w:r w:rsidRPr="00430380">
        <w:rPr>
          <w:color w:val="000000"/>
        </w:rPr>
        <w:br/>
        <w:t>recognition of the need for lifelong learning.</w:t>
      </w:r>
    </w:p>
    <w:p w:rsidR="003A56D3" w:rsidRDefault="003A56D3" w:rsidP="003A56D3">
      <w:pPr>
        <w:keepLines/>
        <w:pBdr>
          <w:top w:val="single" w:sz="4" w:space="1" w:color="auto"/>
          <w:left w:val="single" w:sz="4" w:space="4" w:color="auto"/>
          <w:bottom w:val="single" w:sz="4" w:space="1" w:color="auto"/>
          <w:right w:val="single" w:sz="4" w:space="4" w:color="auto"/>
        </w:pBdr>
      </w:pPr>
    </w:p>
    <w:p w:rsidR="003A56D3" w:rsidRPr="008A139F" w:rsidRDefault="003A56D3" w:rsidP="003A56D3">
      <w:pPr>
        <w:keepLines/>
        <w:pBdr>
          <w:top w:val="single" w:sz="4" w:space="1" w:color="auto"/>
          <w:left w:val="single" w:sz="4" w:space="4" w:color="auto"/>
          <w:bottom w:val="single" w:sz="4" w:space="1" w:color="auto"/>
          <w:right w:val="single" w:sz="4" w:space="4" w:color="auto"/>
        </w:pBdr>
        <w:spacing w:after="80"/>
        <w:rPr>
          <w:b/>
          <w:i/>
        </w:rPr>
      </w:pPr>
      <w:r w:rsidRPr="008A139F">
        <w:rPr>
          <w:b/>
          <w:i/>
        </w:rPr>
        <w:t>Teaching/learning methods</w:t>
      </w:r>
    </w:p>
    <w:p w:rsidR="003A56D3" w:rsidRPr="00430380" w:rsidRDefault="003A56D3" w:rsidP="003A56D3">
      <w:pPr>
        <w:keepLines/>
        <w:pBdr>
          <w:top w:val="single" w:sz="4" w:space="1" w:color="auto"/>
          <w:left w:val="single" w:sz="4" w:space="4" w:color="auto"/>
          <w:bottom w:val="single" w:sz="4" w:space="1" w:color="auto"/>
          <w:right w:val="single" w:sz="4" w:space="4" w:color="auto"/>
        </w:pBdr>
        <w:spacing w:after="80"/>
        <w:rPr>
          <w:color w:val="000000"/>
        </w:rPr>
      </w:pPr>
      <w:r w:rsidRPr="00430380">
        <w:rPr>
          <w:color w:val="000000"/>
        </w:rPr>
        <w:t>Students learn transferable skills through the teaching and learning programme outlined above.  Although not all the skills are explicitly taught, they are nurtured and developed throughout the programme, which is structured and delivered in such a way as to promote this process.</w:t>
      </w:r>
    </w:p>
    <w:p w:rsidR="003A56D3" w:rsidRDefault="003A56D3" w:rsidP="003A56D3">
      <w:pPr>
        <w:keepLines/>
        <w:pBdr>
          <w:top w:val="single" w:sz="4" w:space="1" w:color="auto"/>
          <w:left w:val="single" w:sz="4" w:space="4" w:color="auto"/>
          <w:bottom w:val="single" w:sz="4" w:space="1" w:color="auto"/>
          <w:right w:val="single" w:sz="4" w:space="4" w:color="auto"/>
        </w:pBdr>
        <w:spacing w:after="80"/>
      </w:pPr>
    </w:p>
    <w:p w:rsidR="003A56D3" w:rsidRPr="00F112A9" w:rsidRDefault="003A56D3" w:rsidP="003A56D3">
      <w:pPr>
        <w:keepLines/>
        <w:pBdr>
          <w:top w:val="single" w:sz="4" w:space="1" w:color="auto"/>
          <w:left w:val="single" w:sz="4" w:space="4" w:color="auto"/>
          <w:bottom w:val="single" w:sz="4" w:space="1" w:color="auto"/>
          <w:right w:val="single" w:sz="4" w:space="4" w:color="auto"/>
        </w:pBdr>
        <w:spacing w:after="80"/>
        <w:rPr>
          <w:b/>
          <w:i/>
        </w:rPr>
      </w:pPr>
      <w:r w:rsidRPr="00F112A9">
        <w:rPr>
          <w:b/>
          <w:i/>
        </w:rPr>
        <w:lastRenderedPageBreak/>
        <w:t>Assessment Method</w:t>
      </w:r>
    </w:p>
    <w:p w:rsidR="003A56D3" w:rsidRDefault="003A56D3" w:rsidP="003A56D3">
      <w:pPr>
        <w:pBdr>
          <w:top w:val="single" w:sz="4" w:space="1" w:color="auto"/>
          <w:left w:val="single" w:sz="4" w:space="4" w:color="auto"/>
          <w:bottom w:val="single" w:sz="4" w:space="1" w:color="auto"/>
          <w:right w:val="single" w:sz="4" w:space="4" w:color="auto"/>
        </w:pBdr>
      </w:pPr>
      <w:r w:rsidRPr="00430380">
        <w:t>Students’ practical skills are assessed by</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Outcome 1 is assessed through coursework and examination, presentations and the project report.</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 xml:space="preserve">Outcome 2 is assessed through coursework. </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Outcome 3 is assessed primarily through examinations.</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 xml:space="preserve">Outcome 4 is assessed through coursework </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Outcomes 5 and 6 are assessed primarily through the research project report.</w:t>
      </w:r>
    </w:p>
    <w:p w:rsidR="003A56D3" w:rsidRPr="00430380" w:rsidRDefault="003A56D3" w:rsidP="003A56D3">
      <w:pPr>
        <w:pStyle w:val="ListParagraph"/>
        <w:numPr>
          <w:ilvl w:val="0"/>
          <w:numId w:val="15"/>
        </w:numPr>
        <w:pBdr>
          <w:top w:val="single" w:sz="4" w:space="1" w:color="auto"/>
          <w:left w:val="single" w:sz="4" w:space="4" w:color="auto"/>
          <w:bottom w:val="single" w:sz="4" w:space="1" w:color="auto"/>
          <w:right w:val="single" w:sz="4" w:space="4" w:color="auto"/>
        </w:pBdr>
        <w:spacing w:before="60"/>
        <w:ind w:left="426" w:hanging="426"/>
      </w:pPr>
      <w:r w:rsidRPr="00430380">
        <w:t xml:space="preserve">Outcomes 6 and 7 are assessed through individual coursework involving critical analysis and giving advice. </w:t>
      </w:r>
    </w:p>
    <w:p w:rsidR="003A56D3" w:rsidRPr="00430380" w:rsidRDefault="003A56D3" w:rsidP="003A56D3">
      <w:pPr>
        <w:keepLines/>
        <w:pBdr>
          <w:left w:val="single" w:sz="4" w:space="4" w:color="auto"/>
          <w:right w:val="single" w:sz="4" w:space="4" w:color="auto"/>
        </w:pBdr>
        <w:rPr>
          <w:b/>
        </w:rPr>
      </w:pPr>
      <w:r w:rsidRPr="00430380">
        <w:rPr>
          <w:b/>
        </w:rPr>
        <w:t>D. Graduate Skills</w:t>
      </w:r>
    </w:p>
    <w:p w:rsidR="003A56D3" w:rsidRPr="00430380" w:rsidRDefault="003A56D3" w:rsidP="003A56D3">
      <w:pPr>
        <w:keepLines/>
        <w:pBdr>
          <w:top w:val="single" w:sz="4" w:space="1" w:color="auto"/>
          <w:left w:val="single" w:sz="4" w:space="4" w:color="auto"/>
          <w:bottom w:val="single" w:sz="4" w:space="1" w:color="auto"/>
          <w:right w:val="single" w:sz="4" w:space="4" w:color="auto"/>
        </w:pBdr>
      </w:pPr>
      <w:r w:rsidRPr="00430380">
        <w:t xml:space="preserve">On completion of this programme the successful student will be well equipped for a career in the rapidly expanding fields of Digital Forensics and IT Security Management. </w:t>
      </w:r>
      <w:r w:rsidRPr="00430380">
        <w:br/>
      </w:r>
    </w:p>
    <w:p w:rsidR="003A56D3" w:rsidRPr="00430380" w:rsidRDefault="003A56D3" w:rsidP="003A56D3">
      <w:pPr>
        <w:keepLines/>
        <w:pBdr>
          <w:top w:val="single" w:sz="4" w:space="1" w:color="auto"/>
          <w:left w:val="single" w:sz="4" w:space="4" w:color="auto"/>
          <w:bottom w:val="single" w:sz="4" w:space="1" w:color="auto"/>
          <w:right w:val="single" w:sz="4" w:space="4" w:color="auto"/>
        </w:pBdr>
        <w:spacing w:after="60"/>
        <w:rPr>
          <w:b/>
          <w:i/>
        </w:rPr>
      </w:pPr>
      <w:r w:rsidRPr="00430380">
        <w:rPr>
          <w:b/>
          <w:i/>
        </w:rPr>
        <w:t>Teaching/learning methods</w:t>
      </w:r>
    </w:p>
    <w:p w:rsidR="003A56D3" w:rsidRPr="00430380" w:rsidRDefault="003A56D3" w:rsidP="003A56D3">
      <w:pPr>
        <w:pBdr>
          <w:top w:val="single" w:sz="4" w:space="1" w:color="auto"/>
          <w:left w:val="single" w:sz="4" w:space="4" w:color="auto"/>
          <w:bottom w:val="single" w:sz="4" w:space="1" w:color="auto"/>
          <w:right w:val="single" w:sz="4" w:space="4" w:color="auto"/>
        </w:pBdr>
      </w:pPr>
      <w:r w:rsidRPr="00430380">
        <w:t xml:space="preserve">Students acquire graduate skills through </w:t>
      </w:r>
      <w:r w:rsidRPr="00430380">
        <w:rPr>
          <w:color w:val="000000"/>
        </w:rPr>
        <w:t>the teaching and learning programme outlined above.</w:t>
      </w:r>
    </w:p>
    <w:p w:rsidR="003A56D3" w:rsidRPr="00430380" w:rsidRDefault="003A56D3" w:rsidP="003A56D3">
      <w:pPr>
        <w:keepLines/>
        <w:pBdr>
          <w:top w:val="single" w:sz="4" w:space="1" w:color="auto"/>
          <w:left w:val="single" w:sz="4" w:space="4" w:color="auto"/>
          <w:bottom w:val="single" w:sz="4" w:space="1" w:color="auto"/>
          <w:right w:val="single" w:sz="4" w:space="4" w:color="auto"/>
        </w:pBdr>
      </w:pPr>
    </w:p>
    <w:p w:rsidR="003A56D3" w:rsidRPr="00430380" w:rsidRDefault="003A56D3" w:rsidP="003A56D3">
      <w:pPr>
        <w:keepLines/>
        <w:pBdr>
          <w:top w:val="single" w:sz="4" w:space="1" w:color="auto"/>
          <w:left w:val="single" w:sz="4" w:space="4" w:color="auto"/>
          <w:bottom w:val="single" w:sz="4" w:space="1" w:color="auto"/>
          <w:right w:val="single" w:sz="4" w:space="4" w:color="auto"/>
        </w:pBdr>
        <w:spacing w:after="60"/>
        <w:rPr>
          <w:b/>
          <w:i/>
        </w:rPr>
      </w:pPr>
      <w:r w:rsidRPr="00430380">
        <w:rPr>
          <w:b/>
          <w:i/>
        </w:rPr>
        <w:t>Assessment method</w:t>
      </w:r>
    </w:p>
    <w:p w:rsidR="003A56D3" w:rsidRPr="00430380" w:rsidRDefault="003A56D3" w:rsidP="003A56D3">
      <w:pPr>
        <w:pBdr>
          <w:top w:val="single" w:sz="4" w:space="1" w:color="auto"/>
          <w:left w:val="single" w:sz="4" w:space="4" w:color="auto"/>
          <w:bottom w:val="single" w:sz="4" w:space="1" w:color="auto"/>
          <w:right w:val="single" w:sz="4" w:space="4" w:color="auto"/>
        </w:pBdr>
      </w:pPr>
      <w:r w:rsidRPr="00430380">
        <w:t>Students’ graduate skills are assessed by individual and/or group coursework, and unseen examinations.</w:t>
      </w:r>
    </w:p>
    <w:p w:rsidR="003A56D3" w:rsidRPr="00465E0A" w:rsidRDefault="003A56D3" w:rsidP="003A56D3"/>
    <w:tbl>
      <w:tblPr>
        <w:tblW w:w="7124" w:type="dxa"/>
        <w:jc w:val="center"/>
        <w:tblInd w:w="-176" w:type="dxa"/>
        <w:tblLayout w:type="fixed"/>
        <w:tblLook w:val="0000"/>
      </w:tblPr>
      <w:tblGrid>
        <w:gridCol w:w="7124"/>
      </w:tblGrid>
      <w:tr w:rsidR="003A56D3" w:rsidRPr="00465E0A" w:rsidTr="007E7777">
        <w:trPr>
          <w:trHeight w:val="404"/>
          <w:jc w:val="center"/>
        </w:trPr>
        <w:tc>
          <w:tcPr>
            <w:tcW w:w="7124" w:type="dxa"/>
            <w:tcBorders>
              <w:top w:val="single" w:sz="4" w:space="0" w:color="000000"/>
              <w:left w:val="single" w:sz="4" w:space="0" w:color="000000"/>
              <w:bottom w:val="single" w:sz="4" w:space="0" w:color="000000"/>
              <w:right w:val="single" w:sz="4" w:space="0" w:color="000000"/>
            </w:tcBorders>
            <w:shd w:val="clear" w:color="auto" w:fill="DFDFDF"/>
          </w:tcPr>
          <w:p w:rsidR="003A56D3" w:rsidRPr="00B07421" w:rsidRDefault="003A56D3" w:rsidP="007E7777">
            <w:pPr>
              <w:rPr>
                <w:b/>
              </w:rPr>
            </w:pPr>
            <w:r w:rsidRPr="00B07421">
              <w:rPr>
                <w:b/>
              </w:rPr>
              <w:t>12. Programme structure (levels, modules, credits and progression requirements)</w:t>
            </w:r>
          </w:p>
        </w:tc>
      </w:tr>
      <w:tr w:rsidR="003A56D3" w:rsidRPr="00465E0A" w:rsidTr="007E7777">
        <w:trPr>
          <w:trHeight w:val="386"/>
          <w:jc w:val="center"/>
        </w:trPr>
        <w:tc>
          <w:tcPr>
            <w:tcW w:w="7124" w:type="dxa"/>
            <w:tcBorders>
              <w:top w:val="single" w:sz="4" w:space="0" w:color="000000"/>
              <w:left w:val="single" w:sz="4" w:space="0" w:color="000000"/>
              <w:bottom w:val="single" w:sz="4" w:space="0" w:color="auto"/>
              <w:right w:val="single" w:sz="4" w:space="0" w:color="000000"/>
            </w:tcBorders>
            <w:shd w:val="clear" w:color="auto" w:fill="DFDFDF"/>
          </w:tcPr>
          <w:p w:rsidR="003A56D3" w:rsidRPr="00B07421" w:rsidRDefault="003A56D3" w:rsidP="007E7777">
            <w:pPr>
              <w:rPr>
                <w:b/>
              </w:rPr>
            </w:pPr>
            <w:r w:rsidRPr="00B07421">
              <w:rPr>
                <w:b/>
              </w:rPr>
              <w:t>12. 1 Overall structure of the programme</w:t>
            </w:r>
          </w:p>
        </w:tc>
      </w:tr>
      <w:tr w:rsidR="003A56D3" w:rsidRPr="00465E0A" w:rsidTr="007E7777">
        <w:trPr>
          <w:trHeight w:val="80"/>
          <w:jc w:val="center"/>
        </w:trPr>
        <w:tc>
          <w:tcPr>
            <w:tcW w:w="7124" w:type="dxa"/>
            <w:tcBorders>
              <w:top w:val="single" w:sz="4" w:space="0" w:color="auto"/>
              <w:left w:val="single" w:sz="4" w:space="0" w:color="000000"/>
              <w:bottom w:val="single" w:sz="4" w:space="0" w:color="000000"/>
              <w:right w:val="single" w:sz="4" w:space="0" w:color="000000"/>
            </w:tcBorders>
          </w:tcPr>
          <w:p w:rsidR="003A56D3" w:rsidRPr="00430380" w:rsidRDefault="003A56D3" w:rsidP="007E7777">
            <w:pPr>
              <w:pStyle w:val="Violetexplanatorytext"/>
              <w:rPr>
                <w:b w:val="0"/>
                <w:i w:val="0"/>
                <w:color w:val="auto"/>
              </w:rPr>
            </w:pPr>
            <w:r w:rsidRPr="00430380">
              <w:rPr>
                <w:b w:val="0"/>
                <w:i w:val="0"/>
                <w:color w:val="auto"/>
              </w:rPr>
              <w:t>Refer to Programme Structure Diagram</w:t>
            </w:r>
          </w:p>
        </w:tc>
      </w:tr>
    </w:tbl>
    <w:p w:rsidR="003A56D3" w:rsidRDefault="003A56D3" w:rsidP="003A56D3"/>
    <w:p w:rsidR="003A56D3" w:rsidRDefault="003A56D3" w:rsidP="003A56D3"/>
    <w:p w:rsidR="003A56D3" w:rsidRDefault="003A56D3" w:rsidP="003A56D3"/>
    <w:p w:rsidR="003A56D3" w:rsidRDefault="003A56D3" w:rsidP="003A56D3"/>
    <w:p w:rsidR="003A56D3" w:rsidRDefault="003A56D3" w:rsidP="003A56D3"/>
    <w:p w:rsidR="003A56D3" w:rsidRDefault="003A56D3" w:rsidP="003A56D3"/>
    <w:p w:rsidR="003A56D3" w:rsidRPr="00465E0A" w:rsidRDefault="003A56D3" w:rsidP="003A56D3"/>
    <w:tbl>
      <w:tblPr>
        <w:tblW w:w="7274" w:type="dxa"/>
        <w:jc w:val="center"/>
        <w:tblInd w:w="-176" w:type="dxa"/>
        <w:tblLayout w:type="fixed"/>
        <w:tblLook w:val="0000"/>
      </w:tblPr>
      <w:tblGrid>
        <w:gridCol w:w="4722"/>
        <w:gridCol w:w="2552"/>
      </w:tblGrid>
      <w:tr w:rsidR="003A56D3" w:rsidRPr="00465E0A" w:rsidTr="007E7777">
        <w:trPr>
          <w:jc w:val="center"/>
        </w:trPr>
        <w:tc>
          <w:tcPr>
            <w:tcW w:w="7273" w:type="dxa"/>
            <w:gridSpan w:val="2"/>
            <w:tcBorders>
              <w:top w:val="single" w:sz="4" w:space="0" w:color="000000"/>
              <w:left w:val="single" w:sz="4" w:space="0" w:color="000000"/>
              <w:bottom w:val="single" w:sz="4" w:space="0" w:color="000000"/>
              <w:right w:val="single" w:sz="4" w:space="0" w:color="000000"/>
            </w:tcBorders>
            <w:shd w:val="clear" w:color="auto" w:fill="D9D9D9"/>
          </w:tcPr>
          <w:p w:rsidR="003A56D3" w:rsidRPr="00B07421" w:rsidRDefault="003A56D3" w:rsidP="007E7777">
            <w:pPr>
              <w:rPr>
                <w:b/>
              </w:rPr>
            </w:pPr>
            <w:r w:rsidRPr="00B07421">
              <w:rPr>
                <w:b/>
              </w:rPr>
              <w:lastRenderedPageBreak/>
              <w:t xml:space="preserve">12.2 Levels and modules </w:t>
            </w:r>
          </w:p>
        </w:tc>
      </w:tr>
      <w:tr w:rsidR="003A56D3" w:rsidRPr="00465E0A" w:rsidTr="007E7777">
        <w:trPr>
          <w:cantSplit/>
          <w:trHeight w:val="90"/>
          <w:jc w:val="center"/>
        </w:trPr>
        <w:tc>
          <w:tcPr>
            <w:tcW w:w="7273" w:type="dxa"/>
            <w:gridSpan w:val="2"/>
            <w:tcBorders>
              <w:left w:val="single" w:sz="4" w:space="0" w:color="000000"/>
              <w:bottom w:val="single" w:sz="4" w:space="0" w:color="000000"/>
              <w:right w:val="single" w:sz="4" w:space="0" w:color="000000"/>
            </w:tcBorders>
          </w:tcPr>
          <w:p w:rsidR="003A56D3" w:rsidRPr="008A139F" w:rsidRDefault="003A56D3" w:rsidP="007E7777">
            <w:pPr>
              <w:rPr>
                <w:b/>
              </w:rPr>
            </w:pPr>
            <w:r w:rsidRPr="008A139F">
              <w:rPr>
                <w:b/>
              </w:rPr>
              <w:t xml:space="preserve">Level 4 </w:t>
            </w:r>
          </w:p>
        </w:tc>
      </w:tr>
      <w:tr w:rsidR="003A56D3" w:rsidRPr="00465E0A" w:rsidTr="007E7777">
        <w:trPr>
          <w:cantSplit/>
          <w:jc w:val="center"/>
        </w:trPr>
        <w:tc>
          <w:tcPr>
            <w:tcW w:w="4722" w:type="dxa"/>
            <w:tcBorders>
              <w:left w:val="single" w:sz="4" w:space="0" w:color="000000"/>
              <w:bottom w:val="single" w:sz="4" w:space="0" w:color="000000"/>
            </w:tcBorders>
          </w:tcPr>
          <w:p w:rsidR="003A56D3" w:rsidRPr="00465E0A" w:rsidRDefault="003A56D3" w:rsidP="007E7777">
            <w:r w:rsidRPr="00465E0A">
              <w:t>COMPULSORY</w:t>
            </w:r>
          </w:p>
        </w:tc>
        <w:tc>
          <w:tcPr>
            <w:tcW w:w="2552" w:type="dxa"/>
            <w:tcBorders>
              <w:left w:val="single" w:sz="4" w:space="0" w:color="000000"/>
              <w:bottom w:val="single" w:sz="4" w:space="0" w:color="000000"/>
              <w:right w:val="single" w:sz="4" w:space="0" w:color="000000"/>
            </w:tcBorders>
          </w:tcPr>
          <w:p w:rsidR="003A56D3" w:rsidRPr="00465E0A" w:rsidRDefault="003A56D3" w:rsidP="007E7777">
            <w:r w:rsidRPr="00465E0A">
              <w:t>PROGRESSION REQUIREMENTS</w:t>
            </w:r>
          </w:p>
        </w:tc>
      </w:tr>
      <w:tr w:rsidR="003A56D3" w:rsidRPr="00465E0A" w:rsidTr="007E7777">
        <w:trPr>
          <w:cantSplit/>
          <w:jc w:val="center"/>
        </w:trPr>
        <w:tc>
          <w:tcPr>
            <w:tcW w:w="4722" w:type="dxa"/>
            <w:tcBorders>
              <w:left w:val="single" w:sz="4" w:space="0" w:color="000000"/>
              <w:bottom w:val="single" w:sz="4" w:space="0" w:color="000000"/>
            </w:tcBorders>
          </w:tcPr>
          <w:p w:rsidR="003A56D3" w:rsidRPr="0093392C" w:rsidRDefault="003A56D3" w:rsidP="007E7777">
            <w:pPr>
              <w:rPr>
                <w:lang w:val="en-US"/>
              </w:rPr>
            </w:pPr>
            <w:r w:rsidRPr="0093392C">
              <w:rPr>
                <w:lang w:val="en-US"/>
              </w:rPr>
              <w:t>Students must take all of the following:</w:t>
            </w:r>
          </w:p>
          <w:p w:rsidR="003A56D3" w:rsidRPr="0093392C" w:rsidRDefault="003A56D3" w:rsidP="007E7777">
            <w:pPr>
              <w:rPr>
                <w:lang w:val="en-US"/>
              </w:rPr>
            </w:pPr>
          </w:p>
          <w:p w:rsidR="003A56D3" w:rsidRPr="0093392C" w:rsidRDefault="003A56D3" w:rsidP="007E7777">
            <w:pPr>
              <w:rPr>
                <w:lang w:val="en-US"/>
              </w:rPr>
            </w:pPr>
            <w:r w:rsidRPr="0093392C">
              <w:rPr>
                <w:lang w:val="en-US"/>
              </w:rPr>
              <w:t>BIS4600: Legal and Professional Aspects of Digital Forensics</w:t>
            </w:r>
          </w:p>
          <w:p w:rsidR="003A56D3" w:rsidRPr="0093392C" w:rsidRDefault="003A56D3" w:rsidP="007E7777">
            <w:pPr>
              <w:rPr>
                <w:lang w:val="en-US"/>
              </w:rPr>
            </w:pPr>
            <w:r w:rsidRPr="0093392C">
              <w:rPr>
                <w:lang w:val="en-US"/>
              </w:rPr>
              <w:br/>
              <w:t>BIS4605: Digital Evidence Management and Forensic Processes</w:t>
            </w:r>
          </w:p>
          <w:p w:rsidR="003A56D3" w:rsidRPr="0093392C" w:rsidRDefault="003A56D3" w:rsidP="007E7777">
            <w:pPr>
              <w:rPr>
                <w:lang w:val="en-US"/>
              </w:rPr>
            </w:pPr>
            <w:r w:rsidRPr="0093392C">
              <w:rPr>
                <w:lang w:val="en-US"/>
              </w:rPr>
              <w:br/>
              <w:t>BIS4610: Information Security Management</w:t>
            </w:r>
          </w:p>
          <w:p w:rsidR="003A56D3" w:rsidRPr="0093392C" w:rsidRDefault="003A56D3" w:rsidP="007E7777">
            <w:pPr>
              <w:rPr>
                <w:lang w:val="en-US"/>
              </w:rPr>
            </w:pPr>
            <w:r w:rsidRPr="0093392C">
              <w:rPr>
                <w:lang w:val="en-US"/>
              </w:rPr>
              <w:br/>
              <w:t>BIS4615: Digital Investigation and Digital Technology.</w:t>
            </w:r>
            <w:r w:rsidRPr="0093392C">
              <w:rPr>
                <w:lang w:val="en-US"/>
              </w:rPr>
              <w:br/>
            </w:r>
          </w:p>
          <w:p w:rsidR="003A56D3" w:rsidRPr="0093392C" w:rsidRDefault="003A56D3" w:rsidP="007E7777">
            <w:pPr>
              <w:rPr>
                <w:lang w:val="en-US"/>
              </w:rPr>
            </w:pPr>
            <w:r w:rsidRPr="0093392C">
              <w:rPr>
                <w:lang w:val="en-US"/>
              </w:rPr>
              <w:t>BIS4992: Postgraduate Computing Project</w:t>
            </w:r>
          </w:p>
          <w:p w:rsidR="003A56D3" w:rsidRPr="0093392C" w:rsidRDefault="003A56D3" w:rsidP="007E7777"/>
        </w:tc>
        <w:tc>
          <w:tcPr>
            <w:tcW w:w="2552" w:type="dxa"/>
            <w:tcBorders>
              <w:left w:val="single" w:sz="4" w:space="0" w:color="000000"/>
              <w:bottom w:val="single" w:sz="4" w:space="0" w:color="000000"/>
              <w:right w:val="single" w:sz="4" w:space="0" w:color="000000"/>
            </w:tcBorders>
          </w:tcPr>
          <w:p w:rsidR="003A56D3" w:rsidRPr="0093392C" w:rsidRDefault="003A56D3" w:rsidP="007E7777">
            <w:pPr>
              <w:rPr>
                <w:lang w:val="en-US"/>
              </w:rPr>
            </w:pPr>
            <w:r w:rsidRPr="0093392C">
              <w:rPr>
                <w:lang w:val="en-US"/>
              </w:rPr>
              <w:t>Students may not commence BIS4992 until they have obtained 120 credits, i.e. they must pass all taught modules.</w:t>
            </w:r>
          </w:p>
          <w:p w:rsidR="003A56D3" w:rsidRPr="0093392C" w:rsidRDefault="003A56D3" w:rsidP="007E7777"/>
        </w:tc>
      </w:tr>
    </w:tbl>
    <w:p w:rsidR="003A56D3" w:rsidRPr="00465E0A" w:rsidRDefault="003A56D3" w:rsidP="003A56D3"/>
    <w:tbl>
      <w:tblPr>
        <w:tblW w:w="7295" w:type="dxa"/>
        <w:jc w:val="center"/>
        <w:tblInd w:w="-176" w:type="dxa"/>
        <w:tblLayout w:type="fixed"/>
        <w:tblLook w:val="0000"/>
      </w:tblPr>
      <w:tblGrid>
        <w:gridCol w:w="3261"/>
        <w:gridCol w:w="4034"/>
      </w:tblGrid>
      <w:tr w:rsidR="003A56D3" w:rsidRPr="00465E0A" w:rsidTr="007E7777">
        <w:trPr>
          <w:cantSplit/>
          <w:jc w:val="center"/>
        </w:trPr>
        <w:tc>
          <w:tcPr>
            <w:tcW w:w="7295" w:type="dxa"/>
            <w:gridSpan w:val="2"/>
            <w:tcBorders>
              <w:top w:val="single" w:sz="4" w:space="0" w:color="000000"/>
              <w:left w:val="single" w:sz="4" w:space="0" w:color="000000"/>
              <w:bottom w:val="single" w:sz="4" w:space="0" w:color="000000"/>
              <w:right w:val="single" w:sz="4" w:space="0" w:color="000000"/>
            </w:tcBorders>
            <w:shd w:val="clear" w:color="auto" w:fill="D9D9D9"/>
          </w:tcPr>
          <w:p w:rsidR="003A56D3" w:rsidRPr="00B07421" w:rsidRDefault="003A56D3" w:rsidP="007E7777">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3A56D3" w:rsidRPr="00465E0A" w:rsidTr="007E7777">
        <w:trPr>
          <w:cantSplit/>
          <w:trHeight w:val="265"/>
          <w:jc w:val="center"/>
        </w:trPr>
        <w:tc>
          <w:tcPr>
            <w:tcW w:w="3261" w:type="dxa"/>
            <w:tcBorders>
              <w:left w:val="single" w:sz="4" w:space="0" w:color="000000"/>
              <w:bottom w:val="single" w:sz="4" w:space="0" w:color="000000"/>
            </w:tcBorders>
            <w:shd w:val="clear" w:color="auto" w:fill="D9D9D9"/>
          </w:tcPr>
          <w:p w:rsidR="003A56D3" w:rsidRPr="00465E0A" w:rsidRDefault="003A56D3" w:rsidP="007E7777">
            <w:r w:rsidRPr="00465E0A">
              <w:t>Module level</w:t>
            </w:r>
          </w:p>
        </w:tc>
        <w:tc>
          <w:tcPr>
            <w:tcW w:w="4034" w:type="dxa"/>
            <w:tcBorders>
              <w:left w:val="single" w:sz="4" w:space="0" w:color="000000"/>
              <w:bottom w:val="single" w:sz="4" w:space="0" w:color="000000"/>
              <w:right w:val="single" w:sz="4" w:space="0" w:color="000000"/>
            </w:tcBorders>
            <w:shd w:val="clear" w:color="auto" w:fill="D9D9D9"/>
          </w:tcPr>
          <w:p w:rsidR="003A56D3" w:rsidRPr="00465E0A" w:rsidRDefault="003A56D3" w:rsidP="007E7777">
            <w:r w:rsidRPr="00465E0A">
              <w:t>Module code</w:t>
            </w:r>
          </w:p>
        </w:tc>
      </w:tr>
      <w:tr w:rsidR="003A56D3" w:rsidRPr="00465E0A" w:rsidTr="007E7777">
        <w:trPr>
          <w:cantSplit/>
          <w:trHeight w:val="265"/>
          <w:jc w:val="center"/>
        </w:trPr>
        <w:tc>
          <w:tcPr>
            <w:tcW w:w="3261" w:type="dxa"/>
            <w:tcBorders>
              <w:left w:val="single" w:sz="4" w:space="0" w:color="000000"/>
              <w:bottom w:val="single" w:sz="4" w:space="0" w:color="000000"/>
            </w:tcBorders>
          </w:tcPr>
          <w:p w:rsidR="003A56D3" w:rsidRPr="00465E0A" w:rsidRDefault="003A56D3" w:rsidP="007E7777">
            <w:r>
              <w:t>7</w:t>
            </w:r>
          </w:p>
        </w:tc>
        <w:tc>
          <w:tcPr>
            <w:tcW w:w="4034" w:type="dxa"/>
            <w:tcBorders>
              <w:left w:val="single" w:sz="4" w:space="0" w:color="000000"/>
              <w:bottom w:val="single" w:sz="4" w:space="0" w:color="000000"/>
              <w:right w:val="single" w:sz="4" w:space="0" w:color="000000"/>
            </w:tcBorders>
          </w:tcPr>
          <w:p w:rsidR="003A56D3" w:rsidRPr="00465E0A" w:rsidRDefault="003A56D3" w:rsidP="007E7777">
            <w:r>
              <w:t>BIS4992</w:t>
            </w:r>
          </w:p>
        </w:tc>
      </w:tr>
    </w:tbl>
    <w:p w:rsidR="003A56D3" w:rsidRPr="00465E0A" w:rsidRDefault="003A56D3" w:rsidP="003A56D3"/>
    <w:tbl>
      <w:tblPr>
        <w:tblW w:w="7295" w:type="dxa"/>
        <w:jc w:val="center"/>
        <w:tblInd w:w="-176" w:type="dxa"/>
        <w:tblLayout w:type="fixed"/>
        <w:tblLook w:val="0000"/>
      </w:tblPr>
      <w:tblGrid>
        <w:gridCol w:w="7295"/>
      </w:tblGrid>
      <w:tr w:rsidR="003A56D3" w:rsidRPr="00465E0A" w:rsidTr="007E7777">
        <w:trPr>
          <w:jc w:val="center"/>
        </w:trPr>
        <w:tc>
          <w:tcPr>
            <w:tcW w:w="7295" w:type="dxa"/>
            <w:tcBorders>
              <w:top w:val="single" w:sz="4" w:space="0" w:color="000000"/>
              <w:left w:val="single" w:sz="4" w:space="0" w:color="000000"/>
              <w:bottom w:val="single" w:sz="4" w:space="0" w:color="auto"/>
              <w:right w:val="single" w:sz="4" w:space="0" w:color="000000"/>
            </w:tcBorders>
            <w:shd w:val="clear" w:color="auto" w:fill="DFDFDF"/>
          </w:tcPr>
          <w:p w:rsidR="003A56D3" w:rsidRPr="00B07421" w:rsidRDefault="003A56D3" w:rsidP="007E7777">
            <w:pPr>
              <w:rPr>
                <w:b/>
              </w:rPr>
            </w:pPr>
            <w:r w:rsidRPr="00B07421">
              <w:rPr>
                <w:b/>
              </w:rPr>
              <w:t>13. Curriculum map</w:t>
            </w:r>
          </w:p>
        </w:tc>
      </w:tr>
      <w:tr w:rsidR="003A56D3" w:rsidRPr="00465E0A" w:rsidTr="007E7777">
        <w:trPr>
          <w:jc w:val="center"/>
        </w:trPr>
        <w:tc>
          <w:tcPr>
            <w:tcW w:w="7295" w:type="dxa"/>
            <w:tcBorders>
              <w:top w:val="single" w:sz="4" w:space="0" w:color="auto"/>
              <w:left w:val="single" w:sz="4" w:space="0" w:color="000000"/>
              <w:bottom w:val="single" w:sz="4" w:space="0" w:color="000000"/>
              <w:right w:val="single" w:sz="4" w:space="0" w:color="000000"/>
            </w:tcBorders>
          </w:tcPr>
          <w:p w:rsidR="003A56D3" w:rsidRPr="00465E0A" w:rsidRDefault="003A56D3" w:rsidP="007E7777">
            <w:r w:rsidRPr="00465E0A">
              <w:t>See Curriculum Map attached</w:t>
            </w:r>
          </w:p>
        </w:tc>
      </w:tr>
    </w:tbl>
    <w:p w:rsidR="003A56D3" w:rsidRDefault="003A56D3" w:rsidP="003A56D3"/>
    <w:p w:rsidR="003A56D3" w:rsidRPr="0093392C"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B07421">
        <w:rPr>
          <w:b/>
        </w:rPr>
        <w:t>14. Information about assessment regulations</w:t>
      </w:r>
    </w:p>
    <w:p w:rsidR="003A56D3" w:rsidRPr="0093392C" w:rsidRDefault="003A56D3" w:rsidP="003A56D3">
      <w:pPr>
        <w:numPr>
          <w:ilvl w:val="0"/>
          <w:numId w:val="6"/>
        </w:numPr>
        <w:pBdr>
          <w:top w:val="single" w:sz="4" w:space="1" w:color="auto"/>
          <w:left w:val="single" w:sz="4" w:space="4" w:color="auto"/>
          <w:bottom w:val="single" w:sz="4" w:space="1" w:color="auto"/>
          <w:right w:val="single" w:sz="4" w:space="4" w:color="auto"/>
        </w:pBdr>
        <w:suppressAutoHyphens w:val="0"/>
        <w:ind w:left="426" w:hanging="426"/>
        <w:rPr>
          <w:color w:val="000000"/>
          <w:spacing w:val="-10"/>
        </w:rPr>
      </w:pPr>
      <w:r w:rsidRPr="0093392C">
        <w:rPr>
          <w:color w:val="000000"/>
          <w:spacing w:val="-10"/>
        </w:rPr>
        <w:t xml:space="preserve">Information on how the University formal assessment regulations work, including details of how award classifications are determined, can be found in the University Regulations at </w:t>
      </w:r>
      <w:hyperlink r:id="rId6" w:history="1">
        <w:r w:rsidRPr="0093392C">
          <w:rPr>
            <w:rStyle w:val="Hyperlink"/>
          </w:rPr>
          <w:t>http://www.mdx.ac.uk/regulations/gradecriteriaguide.aspx</w:t>
        </w:r>
      </w:hyperlink>
    </w:p>
    <w:p w:rsidR="003A56D3" w:rsidRPr="0093392C" w:rsidRDefault="003A56D3" w:rsidP="003A56D3">
      <w:pPr>
        <w:numPr>
          <w:ilvl w:val="0"/>
          <w:numId w:val="6"/>
        </w:numPr>
        <w:pBdr>
          <w:top w:val="single" w:sz="4" w:space="1" w:color="auto"/>
          <w:left w:val="single" w:sz="4" w:space="4" w:color="auto"/>
          <w:bottom w:val="single" w:sz="4" w:space="1" w:color="auto"/>
          <w:right w:val="single" w:sz="4" w:space="4" w:color="auto"/>
        </w:pBdr>
        <w:suppressAutoHyphens w:val="0"/>
        <w:spacing w:before="60"/>
        <w:ind w:left="426" w:hanging="426"/>
        <w:rPr>
          <w:color w:val="000000"/>
          <w:spacing w:val="-10"/>
        </w:rPr>
      </w:pPr>
      <w:r w:rsidRPr="0093392C">
        <w:rPr>
          <w:color w:val="000000"/>
          <w:spacing w:val="-10"/>
        </w:rPr>
        <w:t xml:space="preserve">Practical aspects of the programme are often assessed via coursework that may be carried out using specialist software and may include lab tests. </w:t>
      </w:r>
    </w:p>
    <w:p w:rsidR="003A56D3" w:rsidRPr="0093392C" w:rsidRDefault="003A56D3" w:rsidP="003A56D3">
      <w:pPr>
        <w:numPr>
          <w:ilvl w:val="0"/>
          <w:numId w:val="6"/>
        </w:numPr>
        <w:pBdr>
          <w:top w:val="single" w:sz="4" w:space="1" w:color="auto"/>
          <w:left w:val="single" w:sz="4" w:space="4" w:color="auto"/>
          <w:bottom w:val="single" w:sz="4" w:space="1" w:color="auto"/>
          <w:right w:val="single" w:sz="4" w:space="4" w:color="auto"/>
        </w:pBdr>
        <w:suppressAutoHyphens w:val="0"/>
        <w:spacing w:before="60"/>
        <w:ind w:left="426" w:hanging="426"/>
        <w:rPr>
          <w:color w:val="000000"/>
          <w:spacing w:val="-10"/>
        </w:rPr>
      </w:pPr>
      <w:r w:rsidRPr="0093392C">
        <w:rPr>
          <w:color w:val="000000"/>
          <w:spacing w:val="-10"/>
        </w:rPr>
        <w:t>Theoretical material is assessed by coursework and examinations.</w:t>
      </w:r>
    </w:p>
    <w:p w:rsidR="003A56D3" w:rsidRPr="0093392C" w:rsidRDefault="003A56D3" w:rsidP="003A56D3">
      <w:pPr>
        <w:numPr>
          <w:ilvl w:val="0"/>
          <w:numId w:val="6"/>
        </w:numPr>
        <w:pBdr>
          <w:top w:val="single" w:sz="4" w:space="1" w:color="auto"/>
          <w:left w:val="single" w:sz="4" w:space="4" w:color="auto"/>
          <w:bottom w:val="single" w:sz="4" w:space="1" w:color="auto"/>
          <w:right w:val="single" w:sz="4" w:space="4" w:color="auto"/>
        </w:pBdr>
        <w:suppressAutoHyphens w:val="0"/>
        <w:spacing w:before="60"/>
        <w:ind w:left="426" w:hanging="426"/>
        <w:rPr>
          <w:color w:val="000000"/>
          <w:spacing w:val="-10"/>
        </w:rPr>
      </w:pPr>
      <w:r w:rsidRPr="0093392C">
        <w:rPr>
          <w:color w:val="000000"/>
          <w:spacing w:val="-10"/>
        </w:rPr>
        <w:lastRenderedPageBreak/>
        <w:t>Grades are awarded on the standard University scale of 1–20, with Grade 1 being the highest.  To pass a module all components, both coursework and examination, must be passed individually with a minimum grade of 16.  Failure in one of the components will result in the failure of the module.</w:t>
      </w:r>
      <w:r w:rsidRPr="0093392C">
        <w:rPr>
          <w:color w:val="000000"/>
          <w:spacing w:val="-10"/>
        </w:rPr>
        <w:br/>
      </w:r>
    </w:p>
    <w:p w:rsidR="003A56D3" w:rsidRPr="0093392C" w:rsidRDefault="003A56D3" w:rsidP="003A56D3">
      <w:pPr>
        <w:pBdr>
          <w:top w:val="single" w:sz="4" w:space="1" w:color="auto"/>
          <w:left w:val="single" w:sz="4" w:space="4" w:color="auto"/>
          <w:bottom w:val="single" w:sz="4" w:space="1" w:color="auto"/>
          <w:right w:val="single" w:sz="4" w:space="4" w:color="auto"/>
        </w:pBdr>
      </w:pPr>
      <w:r w:rsidRPr="0093392C">
        <w:rPr>
          <w:color w:val="000000"/>
          <w:spacing w:val="-10"/>
        </w:rPr>
        <w:t xml:space="preserve">For additional information on assessment and how learning </w:t>
      </w:r>
      <w:proofErr w:type="spellStart"/>
      <w:r w:rsidRPr="0093392C">
        <w:rPr>
          <w:color w:val="000000"/>
          <w:spacing w:val="-10"/>
        </w:rPr>
        <w:t>outcomesare</w:t>
      </w:r>
      <w:proofErr w:type="spellEnd"/>
      <w:r w:rsidRPr="0093392C">
        <w:rPr>
          <w:color w:val="000000"/>
          <w:spacing w:val="-10"/>
        </w:rPr>
        <w:t xml:space="preserve"> assessed please refer to the individual module narratives for this programme.</w:t>
      </w:r>
    </w:p>
    <w:p w:rsidR="003A56D3" w:rsidRDefault="003A56D3" w:rsidP="003A56D3"/>
    <w:p w:rsidR="003A56D3" w:rsidRPr="00B07421"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B07421">
        <w:rPr>
          <w:b/>
        </w:rPr>
        <w:t>15. Placement opportunities, requirements and support (if applicable)</w:t>
      </w:r>
    </w:p>
    <w:p w:rsidR="003A56D3" w:rsidRDefault="003A56D3" w:rsidP="003A56D3">
      <w:pPr>
        <w:pBdr>
          <w:top w:val="single" w:sz="4" w:space="1" w:color="auto"/>
          <w:left w:val="single" w:sz="4" w:space="4" w:color="auto"/>
          <w:bottom w:val="single" w:sz="4" w:space="1" w:color="auto"/>
          <w:right w:val="single" w:sz="4" w:space="4" w:color="auto"/>
        </w:pBdr>
      </w:pPr>
      <w:r>
        <w:t>N/A</w:t>
      </w:r>
    </w:p>
    <w:p w:rsidR="003A56D3" w:rsidRPr="00465E0A" w:rsidRDefault="003A56D3" w:rsidP="003A56D3"/>
    <w:p w:rsidR="003A56D3" w:rsidRPr="00B07421" w:rsidRDefault="003A56D3" w:rsidP="003A56D3">
      <w:pPr>
        <w:pBdr>
          <w:top w:val="single" w:sz="4" w:space="1" w:color="auto"/>
          <w:left w:val="single" w:sz="4" w:space="4" w:color="auto"/>
          <w:right w:val="single" w:sz="4" w:space="4" w:color="auto"/>
        </w:pBdr>
        <w:shd w:val="clear" w:color="auto" w:fill="D9D9D9" w:themeFill="background1" w:themeFillShade="D9"/>
        <w:rPr>
          <w:b/>
        </w:rPr>
      </w:pPr>
      <w:r>
        <w:rPr>
          <w:b/>
        </w:rPr>
        <w:t>16</w:t>
      </w:r>
      <w:r w:rsidRPr="00B07421">
        <w:rPr>
          <w:b/>
        </w:rPr>
        <w:t>. Future careers (if applicable)</w:t>
      </w:r>
    </w:p>
    <w:p w:rsidR="003A56D3" w:rsidRPr="0093392C" w:rsidRDefault="003A56D3" w:rsidP="003A56D3">
      <w:pPr>
        <w:pBdr>
          <w:top w:val="single" w:sz="4" w:space="1" w:color="auto"/>
          <w:left w:val="single" w:sz="4" w:space="4" w:color="auto"/>
          <w:bottom w:val="single" w:sz="4" w:space="1" w:color="auto"/>
          <w:right w:val="single" w:sz="4" w:space="4" w:color="auto"/>
        </w:pBdr>
        <w:spacing w:after="60"/>
        <w:rPr>
          <w:color w:val="000000"/>
          <w:spacing w:val="-10"/>
        </w:rPr>
      </w:pPr>
      <w:r w:rsidRPr="0093392C">
        <w:rPr>
          <w:color w:val="000000"/>
          <w:spacing w:val="-10"/>
        </w:rPr>
        <w:t xml:space="preserve">All programmes in the School of Science and Technology – their curricula and learning outcomes – have been designed with an emphasis on currency and the relevance to future employment. </w:t>
      </w:r>
    </w:p>
    <w:p w:rsidR="003A56D3" w:rsidRPr="0093392C" w:rsidRDefault="003A56D3" w:rsidP="003A56D3">
      <w:pPr>
        <w:numPr>
          <w:ilvl w:val="0"/>
          <w:numId w:val="7"/>
        </w:numPr>
        <w:pBdr>
          <w:top w:val="single" w:sz="4" w:space="1" w:color="auto"/>
          <w:left w:val="single" w:sz="4" w:space="4" w:color="auto"/>
          <w:bottom w:val="single" w:sz="4" w:space="1" w:color="auto"/>
          <w:right w:val="single" w:sz="4" w:space="4" w:color="auto"/>
        </w:pBdr>
        <w:tabs>
          <w:tab w:val="num" w:pos="318"/>
        </w:tabs>
        <w:suppressAutoHyphens w:val="0"/>
        <w:spacing w:before="60" w:after="60"/>
        <w:ind w:left="342" w:hanging="342"/>
        <w:rPr>
          <w:color w:val="000000"/>
          <w:spacing w:val="-10"/>
        </w:rPr>
      </w:pPr>
      <w:r w:rsidRPr="0093392C">
        <w:rPr>
          <w:color w:val="000000"/>
          <w:spacing w:val="-10"/>
        </w:rPr>
        <w:t xml:space="preserve">The majority of graduates are employed in IT posts relevant to the subject. </w:t>
      </w:r>
    </w:p>
    <w:p w:rsidR="003A56D3" w:rsidRPr="0093392C" w:rsidRDefault="003A56D3" w:rsidP="003A56D3">
      <w:pPr>
        <w:pStyle w:val="BodyText"/>
        <w:numPr>
          <w:ilvl w:val="0"/>
          <w:numId w:val="7"/>
        </w:numPr>
        <w:pBdr>
          <w:top w:val="single" w:sz="4" w:space="1" w:color="auto"/>
          <w:left w:val="single" w:sz="4" w:space="4" w:color="auto"/>
          <w:bottom w:val="single" w:sz="4" w:space="1" w:color="auto"/>
          <w:right w:val="single" w:sz="4" w:space="4" w:color="auto"/>
        </w:pBdr>
        <w:tabs>
          <w:tab w:val="num" w:pos="318"/>
          <w:tab w:val="left" w:pos="5955"/>
          <w:tab w:val="right" w:pos="6246"/>
        </w:tabs>
        <w:suppressAutoHyphens w:val="0"/>
        <w:spacing w:before="60" w:after="60"/>
        <w:ind w:left="342" w:hanging="342"/>
        <w:rPr>
          <w:color w:val="000000"/>
          <w:spacing w:val="-10"/>
        </w:rPr>
      </w:pPr>
      <w:r w:rsidRPr="0093392C">
        <w:rPr>
          <w:color w:val="000000"/>
          <w:spacing w:val="-10"/>
        </w:rPr>
        <w:t xml:space="preserve">Over 20% of students pursue further postgraduate study or research. </w:t>
      </w:r>
    </w:p>
    <w:p w:rsidR="003A56D3" w:rsidRPr="0093392C" w:rsidRDefault="003A56D3" w:rsidP="003A56D3">
      <w:pPr>
        <w:pBdr>
          <w:top w:val="single" w:sz="4" w:space="1" w:color="auto"/>
          <w:left w:val="single" w:sz="4" w:space="4" w:color="auto"/>
          <w:bottom w:val="single" w:sz="4" w:space="1" w:color="auto"/>
          <w:right w:val="single" w:sz="4" w:space="4" w:color="auto"/>
        </w:pBdr>
        <w:spacing w:before="60" w:after="120"/>
        <w:rPr>
          <w:color w:val="000000"/>
          <w:spacing w:val="-10"/>
        </w:rPr>
      </w:pPr>
      <w:r w:rsidRPr="0093392C">
        <w:rPr>
          <w:color w:val="000000"/>
          <w:spacing w:val="-10"/>
        </w:rPr>
        <w:t>The employer links with the School are encouraged in a number of ways e.g. by inviting practitioners from industry as guest speakers in lectures; through links with companies where students are employed as part of their Industrial placement and through alumni both in the UK and overseas</w:t>
      </w:r>
    </w:p>
    <w:p w:rsidR="003A56D3" w:rsidRPr="0093392C" w:rsidRDefault="003A56D3" w:rsidP="003A56D3">
      <w:pPr>
        <w:pBdr>
          <w:top w:val="single" w:sz="4" w:space="1" w:color="auto"/>
          <w:left w:val="single" w:sz="4" w:space="4" w:color="auto"/>
          <w:bottom w:val="single" w:sz="4" w:space="1" w:color="auto"/>
          <w:right w:val="single" w:sz="4" w:space="4" w:color="auto"/>
        </w:pBdr>
        <w:snapToGrid w:val="0"/>
        <w:rPr>
          <w:color w:val="000000"/>
          <w:spacing w:val="-10"/>
        </w:rPr>
      </w:pPr>
      <w:r w:rsidRPr="0093392C">
        <w:rPr>
          <w:color w:val="000000"/>
          <w:spacing w:val="-10"/>
        </w:rPr>
        <w:t xml:space="preserve">Campus Careers Offices can be found on each campus for advice, support and guidance – or go to </w:t>
      </w:r>
      <w:hyperlink r:id="rId7" w:history="1">
        <w:r w:rsidRPr="0093392C">
          <w:rPr>
            <w:rStyle w:val="Hyperlink"/>
            <w:spacing w:val="-10"/>
          </w:rPr>
          <w:t>http://www.mdx.ac.uk/campus/support/careers/index.asp</w:t>
        </w:r>
      </w:hyperlink>
    </w:p>
    <w:p w:rsidR="003A56D3" w:rsidRPr="00465E0A" w:rsidRDefault="003A56D3" w:rsidP="003A56D3"/>
    <w:p w:rsidR="003A56D3" w:rsidRPr="00B07421" w:rsidRDefault="003A56D3" w:rsidP="003A56D3">
      <w:pPr>
        <w:pBdr>
          <w:top w:val="single" w:sz="4" w:space="1" w:color="auto"/>
          <w:left w:val="single" w:sz="4" w:space="4" w:color="auto"/>
          <w:right w:val="single" w:sz="4" w:space="4" w:color="auto"/>
        </w:pBdr>
        <w:shd w:val="clear" w:color="auto" w:fill="D9D9D9" w:themeFill="background1" w:themeFillShade="D9"/>
        <w:rPr>
          <w:b/>
        </w:rPr>
      </w:pPr>
      <w:r>
        <w:rPr>
          <w:b/>
        </w:rPr>
        <w:t>17</w:t>
      </w:r>
      <w:r w:rsidRPr="00B07421">
        <w:rPr>
          <w:b/>
        </w:rPr>
        <w:t>. Particular support for learning (if applicable)</w:t>
      </w:r>
    </w:p>
    <w:p w:rsidR="003A56D3" w:rsidRPr="0093392C" w:rsidRDefault="003A56D3" w:rsidP="003A56D3">
      <w:pPr>
        <w:pBdr>
          <w:top w:val="single" w:sz="4" w:space="1" w:color="auto"/>
          <w:left w:val="single" w:sz="4" w:space="4" w:color="auto"/>
          <w:bottom w:val="single" w:sz="4" w:space="1" w:color="auto"/>
          <w:right w:val="single" w:sz="4" w:space="4" w:color="auto"/>
        </w:pBdr>
        <w:spacing w:after="60"/>
        <w:rPr>
          <w:color w:val="000000"/>
          <w:spacing w:val="-10"/>
        </w:rPr>
      </w:pPr>
      <w:r w:rsidRPr="0093392C">
        <w:rPr>
          <w:color w:val="000000"/>
          <w:spacing w:val="-10"/>
        </w:rPr>
        <w:t xml:space="preserve">The School’s </w:t>
      </w:r>
      <w:proofErr w:type="gramStart"/>
      <w:r w:rsidRPr="0093392C">
        <w:rPr>
          <w:color w:val="000000"/>
          <w:spacing w:val="-10"/>
        </w:rPr>
        <w:t>Teaching</w:t>
      </w:r>
      <w:proofErr w:type="gramEnd"/>
      <w:r w:rsidRPr="0093392C">
        <w:rPr>
          <w:color w:val="000000"/>
          <w:spacing w:val="-10"/>
        </w:rPr>
        <w:t xml:space="preserve"> and Learning Strategy is compliant with those of the University, in seeking to develop learner autonomy and resource-based learning.</w:t>
      </w:r>
    </w:p>
    <w:p w:rsidR="003A56D3" w:rsidRPr="0093392C" w:rsidRDefault="003A56D3" w:rsidP="003A56D3">
      <w:pPr>
        <w:pBdr>
          <w:top w:val="single" w:sz="4" w:space="1" w:color="auto"/>
          <w:left w:val="single" w:sz="4" w:space="4" w:color="auto"/>
          <w:bottom w:val="single" w:sz="4" w:space="1" w:color="auto"/>
          <w:right w:val="single" w:sz="4" w:space="4" w:color="auto"/>
        </w:pBdr>
        <w:spacing w:before="60" w:after="60"/>
        <w:rPr>
          <w:color w:val="000000"/>
          <w:spacing w:val="-10"/>
        </w:rPr>
      </w:pPr>
      <w:r w:rsidRPr="0093392C">
        <w:rPr>
          <w:color w:val="000000"/>
          <w:spacing w:val="-10"/>
        </w:rPr>
        <w:t>In support of the students learning experience:</w:t>
      </w:r>
    </w:p>
    <w:p w:rsidR="003A56D3" w:rsidRPr="0093392C" w:rsidRDefault="003A56D3" w:rsidP="003A56D3">
      <w:pPr>
        <w:numPr>
          <w:ilvl w:val="0"/>
          <w:numId w:val="8"/>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color w:val="000000"/>
          <w:spacing w:val="-10"/>
        </w:rPr>
      </w:pPr>
      <w:r w:rsidRPr="0093392C">
        <w:rPr>
          <w:color w:val="000000"/>
          <w:spacing w:val="-10"/>
        </w:rPr>
        <w:t xml:space="preserve">All new students go through an induction programme and some have early diagnostic numeric and literacy testing before starting their programme.  Learning Resources (LR) provide workshops for those students needing additional support in these areas. </w:t>
      </w:r>
    </w:p>
    <w:p w:rsidR="003A56D3" w:rsidRPr="0093392C" w:rsidRDefault="003A56D3" w:rsidP="003A56D3">
      <w:pPr>
        <w:numPr>
          <w:ilvl w:val="0"/>
          <w:numId w:val="11"/>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lastRenderedPageBreak/>
        <w:t>Students are allocated a personal email account, secure networked computer storage and dial-up facilities</w:t>
      </w:r>
    </w:p>
    <w:p w:rsidR="003A56D3" w:rsidRPr="0093392C" w:rsidRDefault="003A56D3" w:rsidP="003A56D3">
      <w:pPr>
        <w:numPr>
          <w:ilvl w:val="0"/>
          <w:numId w:val="9"/>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 xml:space="preserve">New students are provided with a hard copy of the schools Subject Handbook at enrolment (electronic copies for all students can also be found at </w:t>
      </w:r>
      <w:proofErr w:type="spellStart"/>
      <w:r w:rsidRPr="0093392C">
        <w:rPr>
          <w:spacing w:val="-10"/>
        </w:rPr>
        <w:t>UniHub</w:t>
      </w:r>
      <w:proofErr w:type="spellEnd"/>
      <w:r w:rsidRPr="0093392C">
        <w:rPr>
          <w:spacing w:val="-10"/>
        </w:rPr>
        <w:t xml:space="preserve">. </w:t>
      </w:r>
    </w:p>
    <w:p w:rsidR="003A56D3" w:rsidRPr="0093392C" w:rsidRDefault="003A56D3" w:rsidP="003A56D3">
      <w:pPr>
        <w:numPr>
          <w:ilvl w:val="0"/>
          <w:numId w:val="9"/>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Soft copies of all module handbooks can be found online. Web-based learning materials are provided to further support learning</w:t>
      </w:r>
    </w:p>
    <w:p w:rsidR="003A56D3" w:rsidRPr="0093392C" w:rsidRDefault="003A56D3" w:rsidP="003A56D3">
      <w:pPr>
        <w:numPr>
          <w:ilvl w:val="0"/>
          <w:numId w:val="9"/>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 xml:space="preserve">Extensive library facilities are available on all campuses. This is available as learning resources through the My Learning </w:t>
      </w:r>
      <w:proofErr w:type="spellStart"/>
      <w:r w:rsidRPr="0093392C">
        <w:rPr>
          <w:spacing w:val="-10"/>
        </w:rPr>
        <w:t>Portlet</w:t>
      </w:r>
      <w:proofErr w:type="spellEnd"/>
      <w:r w:rsidRPr="0093392C">
        <w:rPr>
          <w:spacing w:val="-10"/>
        </w:rPr>
        <w:t xml:space="preserve"> system</w:t>
      </w:r>
    </w:p>
    <w:p w:rsidR="003A56D3" w:rsidRPr="0093392C" w:rsidRDefault="003A56D3" w:rsidP="003A56D3">
      <w:pPr>
        <w:numPr>
          <w:ilvl w:val="0"/>
          <w:numId w:val="9"/>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High-quality specialist network, software, digital and wireless laboratories equipped with industry standard software, hardware and tools as appropriate, for formal teaching as well as self-study. Middlesex University is a Cisco Local Academy and a Xilinx University partner</w:t>
      </w:r>
    </w:p>
    <w:p w:rsidR="003A56D3" w:rsidRPr="0093392C" w:rsidRDefault="003A56D3" w:rsidP="003A56D3">
      <w:pPr>
        <w:numPr>
          <w:ilvl w:val="0"/>
          <w:numId w:val="9"/>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Access to campus based teaching and learning support drop in sessions, arranged by the school to provide assistance and guidance</w:t>
      </w:r>
    </w:p>
    <w:p w:rsidR="003A56D3" w:rsidRPr="0093392C" w:rsidRDefault="003A56D3" w:rsidP="003A56D3">
      <w:pPr>
        <w:numPr>
          <w:ilvl w:val="0"/>
          <w:numId w:val="10"/>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 xml:space="preserve">Tutorial sessions for each module organised for groups of up to 20 students are provided for additional teaching support </w:t>
      </w:r>
    </w:p>
    <w:p w:rsidR="003A56D3" w:rsidRPr="0093392C" w:rsidRDefault="003A56D3" w:rsidP="003A56D3">
      <w:pPr>
        <w:numPr>
          <w:ilvl w:val="0"/>
          <w:numId w:val="10"/>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 xml:space="preserve">Formative feedback is given on completion of student coursework </w:t>
      </w:r>
    </w:p>
    <w:p w:rsidR="003A56D3" w:rsidRPr="0093392C" w:rsidRDefault="003A56D3" w:rsidP="003A56D3">
      <w:pPr>
        <w:numPr>
          <w:ilvl w:val="0"/>
          <w:numId w:val="10"/>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rPr>
          <w:spacing w:val="-10"/>
        </w:rPr>
      </w:pPr>
      <w:r w:rsidRPr="0093392C">
        <w:rPr>
          <w:spacing w:val="-10"/>
        </w:rPr>
        <w:t xml:space="preserve">Past exam papers with solutions and marking schemes for all modules are available for students in module handbooks and at </w:t>
      </w:r>
      <w:proofErr w:type="spellStart"/>
      <w:r w:rsidRPr="0093392C">
        <w:rPr>
          <w:spacing w:val="-10"/>
        </w:rPr>
        <w:t>UniHub</w:t>
      </w:r>
      <w:proofErr w:type="spellEnd"/>
    </w:p>
    <w:p w:rsidR="003A56D3" w:rsidRPr="0093392C" w:rsidRDefault="003A56D3" w:rsidP="003A56D3">
      <w:pPr>
        <w:numPr>
          <w:ilvl w:val="0"/>
          <w:numId w:val="12"/>
        </w:numPr>
        <w:pBdr>
          <w:top w:val="single" w:sz="4" w:space="1" w:color="auto"/>
          <w:left w:val="single" w:sz="4" w:space="4" w:color="auto"/>
          <w:bottom w:val="single" w:sz="4" w:space="1" w:color="auto"/>
          <w:right w:val="single" w:sz="4" w:space="4" w:color="auto"/>
        </w:pBdr>
        <w:suppressAutoHyphens w:val="0"/>
        <w:spacing w:before="60"/>
        <w:ind w:left="426" w:hanging="426"/>
        <w:rPr>
          <w:spacing w:val="-10"/>
        </w:rPr>
      </w:pPr>
      <w:r w:rsidRPr="0093392C">
        <w:rPr>
          <w:spacing w:val="-10"/>
        </w:rPr>
        <w:t>Research activities of academic staff feed into the teaching programme, which can provide individual students with ad-hoc opportunities to work with academics on some aspect of research</w:t>
      </w:r>
    </w:p>
    <w:p w:rsidR="003A56D3" w:rsidRDefault="003A56D3" w:rsidP="003A56D3">
      <w:pPr>
        <w:pBdr>
          <w:top w:val="single" w:sz="4" w:space="1" w:color="auto"/>
          <w:left w:val="single" w:sz="4" w:space="4" w:color="auto"/>
          <w:bottom w:val="single" w:sz="4" w:space="1" w:color="auto"/>
          <w:right w:val="single" w:sz="4" w:space="4" w:color="auto"/>
        </w:pBdr>
        <w:rPr>
          <w:spacing w:val="-10"/>
        </w:rPr>
      </w:pPr>
    </w:p>
    <w:p w:rsidR="003A56D3" w:rsidRPr="0093392C" w:rsidRDefault="003A56D3" w:rsidP="003A56D3">
      <w:pPr>
        <w:pBdr>
          <w:top w:val="single" w:sz="4" w:space="1" w:color="auto"/>
          <w:left w:val="single" w:sz="4" w:space="4" w:color="auto"/>
          <w:bottom w:val="single" w:sz="4" w:space="1" w:color="auto"/>
          <w:right w:val="single" w:sz="4" w:space="4" w:color="auto"/>
        </w:pBdr>
      </w:pPr>
      <w:r w:rsidRPr="0093392C">
        <w:rPr>
          <w:spacing w:val="-10"/>
        </w:rPr>
        <w:t xml:space="preserve">Middlesex University encourages and supports students with disabilities. Some practical aspects of Science and Technology programmes may present challenges to students with particular disabilities. You are encouraged to visit our campuses at any time to evaluate facilities and talk in confidence about your needs. If we know your individual needs we’ll be able to provide for them more easily. For further information contact the Disability Support Service (email: </w:t>
      </w:r>
      <w:hyperlink r:id="rId8" w:history="1">
        <w:r w:rsidRPr="0093392C">
          <w:rPr>
            <w:rStyle w:val="Hyperlink"/>
            <w:spacing w:val="-10"/>
          </w:rPr>
          <w:t>disability@mdx.ac.uk</w:t>
        </w:r>
      </w:hyperlink>
      <w:r w:rsidRPr="0093392C">
        <w:rPr>
          <w:spacing w:val="-10"/>
        </w:rPr>
        <w:t>)</w:t>
      </w:r>
    </w:p>
    <w:p w:rsidR="003A56D3" w:rsidRPr="00465E0A" w:rsidRDefault="003A56D3" w:rsidP="003A56D3"/>
    <w:p w:rsidR="003A56D3" w:rsidRDefault="003A56D3" w:rsidP="003A56D3">
      <w:pPr>
        <w:pBdr>
          <w:top w:val="single" w:sz="4" w:space="1" w:color="auto"/>
          <w:left w:val="single" w:sz="4" w:space="4" w:color="auto"/>
          <w:right w:val="single" w:sz="4" w:space="4" w:color="auto"/>
        </w:pBdr>
        <w:shd w:val="clear" w:color="auto" w:fill="D9D9D9" w:themeFill="background1" w:themeFillShade="D9"/>
        <w:tabs>
          <w:tab w:val="left" w:pos="4252"/>
        </w:tabs>
        <w:rPr>
          <w:b/>
        </w:rPr>
      </w:pPr>
      <w:r>
        <w:rPr>
          <w:b/>
        </w:rPr>
        <w:t>18</w:t>
      </w:r>
      <w:r w:rsidRPr="00B07421">
        <w:rPr>
          <w:b/>
        </w:rPr>
        <w:t>. JACS code (or other relevant coding system)</w:t>
      </w:r>
      <w:r w:rsidRPr="00B07421">
        <w:rPr>
          <w:b/>
        </w:rPr>
        <w:tab/>
      </w:r>
    </w:p>
    <w:p w:rsidR="003A56D3" w:rsidRPr="0093392C" w:rsidRDefault="003A56D3" w:rsidP="003A56D3">
      <w:pPr>
        <w:pBdr>
          <w:top w:val="single" w:sz="4" w:space="1" w:color="auto"/>
          <w:left w:val="single" w:sz="4" w:space="4" w:color="auto"/>
          <w:bottom w:val="single" w:sz="4" w:space="1" w:color="auto"/>
          <w:right w:val="single" w:sz="4" w:space="4" w:color="auto"/>
        </w:pBdr>
        <w:tabs>
          <w:tab w:val="left" w:pos="4252"/>
        </w:tabs>
      </w:pPr>
      <w:r w:rsidRPr="0093392C">
        <w:t>G500</w:t>
      </w:r>
    </w:p>
    <w:p w:rsidR="003A56D3" w:rsidRPr="00465E0A" w:rsidRDefault="003A56D3" w:rsidP="003A56D3">
      <w:pPr>
        <w:tabs>
          <w:tab w:val="left" w:pos="4252"/>
        </w:tabs>
      </w:pPr>
    </w:p>
    <w:p w:rsidR="003A56D3" w:rsidRDefault="003A56D3" w:rsidP="003A56D3">
      <w:pPr>
        <w:pBdr>
          <w:top w:val="single" w:sz="4" w:space="1" w:color="auto"/>
          <w:left w:val="single" w:sz="4" w:space="4" w:color="auto"/>
          <w:right w:val="single" w:sz="4" w:space="4" w:color="auto"/>
        </w:pBdr>
        <w:shd w:val="clear" w:color="auto" w:fill="D9D9D9" w:themeFill="background1" w:themeFillShade="D9"/>
        <w:tabs>
          <w:tab w:val="left" w:pos="4252"/>
        </w:tabs>
        <w:rPr>
          <w:b/>
        </w:rPr>
      </w:pPr>
      <w:r w:rsidRPr="00B07421">
        <w:rPr>
          <w:b/>
        </w:rPr>
        <w:lastRenderedPageBreak/>
        <w:t>19. Relevant QAA subject benchmark group(s)</w:t>
      </w:r>
      <w:r w:rsidRPr="00B07421">
        <w:rPr>
          <w:b/>
        </w:rPr>
        <w:tab/>
      </w:r>
    </w:p>
    <w:p w:rsidR="003A56D3" w:rsidRPr="002930DB" w:rsidRDefault="003A56D3" w:rsidP="003A56D3">
      <w:pPr>
        <w:pBdr>
          <w:top w:val="single" w:sz="4" w:space="1" w:color="auto"/>
          <w:left w:val="single" w:sz="4" w:space="4" w:color="auto"/>
          <w:bottom w:val="single" w:sz="4" w:space="1" w:color="auto"/>
          <w:right w:val="single" w:sz="4" w:space="4" w:color="auto"/>
        </w:pBdr>
        <w:tabs>
          <w:tab w:val="left" w:pos="4252"/>
        </w:tabs>
      </w:pPr>
      <w:r w:rsidRPr="002930DB">
        <w:t>Computing</w:t>
      </w:r>
    </w:p>
    <w:p w:rsidR="003A56D3" w:rsidRPr="00465E0A" w:rsidRDefault="003A56D3" w:rsidP="003A56D3"/>
    <w:p w:rsidR="003A56D3" w:rsidRPr="008A139F"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8A139F">
        <w:rPr>
          <w:b/>
        </w:rPr>
        <w:t>20. Reference points</w:t>
      </w:r>
    </w:p>
    <w:p w:rsidR="003A56D3" w:rsidRPr="002930DB" w:rsidRDefault="003A56D3" w:rsidP="003A56D3">
      <w:pPr>
        <w:pBdr>
          <w:top w:val="single" w:sz="4" w:space="1" w:color="auto"/>
          <w:left w:val="single" w:sz="4" w:space="4" w:color="auto"/>
          <w:bottom w:val="single" w:sz="4" w:space="1" w:color="auto"/>
          <w:right w:val="single" w:sz="4" w:space="4" w:color="auto"/>
        </w:pBdr>
        <w:rPr>
          <w:b/>
        </w:rPr>
      </w:pPr>
      <w:r w:rsidRPr="002930DB">
        <w:rPr>
          <w:color w:val="000000"/>
        </w:rPr>
        <w:t>The following reference points were used in designing the programme:</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60"/>
        <w:ind w:left="426" w:hanging="426"/>
        <w:rPr>
          <w:color w:val="000000"/>
        </w:rPr>
      </w:pPr>
      <w:r w:rsidRPr="002930DB">
        <w:rPr>
          <w:color w:val="000000"/>
        </w:rPr>
        <w:t>QAA Framework for Higher Education Qualifications in England, Wales and Northern Ireland</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60"/>
        <w:ind w:left="426" w:hanging="426"/>
        <w:rPr>
          <w:color w:val="000000"/>
        </w:rPr>
      </w:pPr>
      <w:r w:rsidRPr="002930DB">
        <w:rPr>
          <w:color w:val="000000"/>
        </w:rPr>
        <w:t>QAA Computing subject benchmark statement</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60"/>
        <w:ind w:left="426" w:hanging="426"/>
        <w:rPr>
          <w:color w:val="000000"/>
        </w:rPr>
      </w:pPr>
      <w:r w:rsidRPr="002930DB">
        <w:rPr>
          <w:color w:val="000000"/>
        </w:rPr>
        <w:t>Towards Benchmarking Standards for Taught Masters Degrees in Computing (sponsored by CPHC), May 2004</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60"/>
        <w:ind w:left="426" w:hanging="426"/>
        <w:rPr>
          <w:color w:val="000000"/>
        </w:rPr>
      </w:pPr>
      <w:r w:rsidRPr="002930DB">
        <w:rPr>
          <w:color w:val="000000"/>
        </w:rPr>
        <w:t>QAA/CLQE guidelines for programme specifications</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60"/>
        <w:ind w:left="426" w:hanging="426"/>
        <w:rPr>
          <w:color w:val="000000"/>
        </w:rPr>
      </w:pPr>
      <w:r w:rsidRPr="002930DB">
        <w:rPr>
          <w:color w:val="000000"/>
        </w:rPr>
        <w:t>QAA Code of Practice for the assurance of academic quality and standards in HE</w:t>
      </w:r>
    </w:p>
    <w:p w:rsidR="003A56D3" w:rsidRPr="002930DB" w:rsidRDefault="003A56D3" w:rsidP="003A56D3">
      <w:pPr>
        <w:numPr>
          <w:ilvl w:val="0"/>
          <w:numId w:val="13"/>
        </w:numPr>
        <w:pBdr>
          <w:top w:val="single" w:sz="4" w:space="1" w:color="auto"/>
          <w:left w:val="single" w:sz="4" w:space="4" w:color="auto"/>
          <w:bottom w:val="single" w:sz="4" w:space="1" w:color="auto"/>
          <w:right w:val="single" w:sz="4" w:space="4" w:color="auto"/>
        </w:pBdr>
        <w:suppressAutoHyphens w:val="0"/>
        <w:spacing w:before="60" w:after="120"/>
        <w:ind w:left="426" w:hanging="426"/>
        <w:rPr>
          <w:b/>
          <w:bCs/>
          <w:color w:val="000000"/>
        </w:rPr>
      </w:pPr>
      <w:r w:rsidRPr="002930DB">
        <w:rPr>
          <w:color w:val="000000"/>
        </w:rPr>
        <w:t>University Policy, Regulations and Guidelines</w:t>
      </w:r>
    </w:p>
    <w:p w:rsidR="003A56D3" w:rsidRPr="002930DB" w:rsidRDefault="003A56D3" w:rsidP="003A56D3">
      <w:pPr>
        <w:pBdr>
          <w:top w:val="single" w:sz="4" w:space="1" w:color="auto"/>
          <w:left w:val="single" w:sz="4" w:space="4" w:color="auto"/>
          <w:bottom w:val="single" w:sz="4" w:space="1" w:color="auto"/>
          <w:right w:val="single" w:sz="4" w:space="4" w:color="auto"/>
        </w:pBdr>
      </w:pPr>
      <w:proofErr w:type="gramStart"/>
      <w:r w:rsidRPr="002930DB">
        <w:rPr>
          <w:color w:val="000000"/>
        </w:rPr>
        <w:t>Middlesex University and School of Science and Technology Teaching Learning and Assessment policies and strategies.</w:t>
      </w:r>
      <w:proofErr w:type="gramEnd"/>
    </w:p>
    <w:p w:rsidR="003A56D3" w:rsidRPr="00465E0A" w:rsidRDefault="003A56D3" w:rsidP="003A56D3"/>
    <w:p w:rsidR="003A56D3" w:rsidRDefault="003A56D3" w:rsidP="003A56D3">
      <w:pPr>
        <w:pBdr>
          <w:top w:val="single" w:sz="4" w:space="1" w:color="auto"/>
          <w:left w:val="single" w:sz="4" w:space="4" w:color="auto"/>
          <w:right w:val="single" w:sz="4" w:space="4" w:color="auto"/>
        </w:pBdr>
        <w:shd w:val="clear" w:color="auto" w:fill="D9D9D9" w:themeFill="background1" w:themeFillShade="D9"/>
        <w:rPr>
          <w:b/>
        </w:rPr>
      </w:pPr>
      <w:r w:rsidRPr="008A139F">
        <w:rPr>
          <w:b/>
        </w:rPr>
        <w:t>21. Other information</w:t>
      </w:r>
    </w:p>
    <w:p w:rsidR="003A56D3" w:rsidRPr="002930DB" w:rsidRDefault="003A56D3" w:rsidP="003A56D3">
      <w:pPr>
        <w:pBdr>
          <w:top w:val="single" w:sz="4" w:space="1" w:color="auto"/>
          <w:left w:val="single" w:sz="4" w:space="4" w:color="auto"/>
          <w:bottom w:val="single" w:sz="4" w:space="1" w:color="auto"/>
          <w:right w:val="single" w:sz="4" w:space="4" w:color="auto"/>
        </w:pBdr>
      </w:pPr>
      <w:r w:rsidRPr="002930DB">
        <w:t>N/A</w:t>
      </w:r>
    </w:p>
    <w:p w:rsidR="003A56D3" w:rsidRPr="00465E0A" w:rsidRDefault="003A56D3" w:rsidP="003A56D3"/>
    <w:p w:rsidR="003A56D3" w:rsidRPr="00465E0A" w:rsidRDefault="003A56D3" w:rsidP="003A56D3">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3A56D3" w:rsidRPr="00465E0A" w:rsidRDefault="003A56D3" w:rsidP="003A56D3">
      <w:pPr>
        <w:sectPr w:rsidR="003A56D3" w:rsidRPr="00465E0A" w:rsidSect="006817E7">
          <w:footerReference w:type="first" r:id="rId9"/>
          <w:footnotePr>
            <w:pos w:val="beneathText"/>
          </w:footnotePr>
          <w:pgSz w:w="8391" w:h="11907" w:code="11"/>
          <w:pgMar w:top="851" w:right="737" w:bottom="1134" w:left="709" w:header="284" w:footer="720" w:gutter="0"/>
          <w:cols w:space="720"/>
          <w:docGrid w:linePitch="360"/>
        </w:sectPr>
      </w:pPr>
    </w:p>
    <w:p w:rsidR="003A56D3" w:rsidRPr="00732503" w:rsidRDefault="003A56D3" w:rsidP="003A56D3">
      <w:pPr>
        <w:pStyle w:val="Heading1PH"/>
        <w:spacing w:after="160"/>
        <w:rPr>
          <w:sz w:val="32"/>
        </w:rPr>
      </w:pPr>
      <w:bookmarkStart w:id="3" w:name="_Toc241584841"/>
      <w:r w:rsidRPr="003946CA">
        <w:rPr>
          <w:sz w:val="32"/>
        </w:rPr>
        <w:lastRenderedPageBreak/>
        <w:t>Curriculum map for MSc Electronic Security and Digital Forensics</w:t>
      </w:r>
      <w:bookmarkEnd w:id="3"/>
    </w:p>
    <w:p w:rsidR="003A56D3" w:rsidRDefault="003A56D3" w:rsidP="003A56D3">
      <w:r w:rsidRPr="00465E0A">
        <w:t>This section shows the highest level at which programme outcomes are to be achieved by all graduates, and maps programme learning outcomes against the modules in which they are assessed.</w:t>
      </w:r>
    </w:p>
    <w:p w:rsidR="003A56D3" w:rsidRPr="00CE13B7" w:rsidRDefault="003A56D3" w:rsidP="003A56D3">
      <w:pPr>
        <w:rPr>
          <w:sz w:val="16"/>
          <w:szCs w:val="16"/>
        </w:rPr>
      </w:pPr>
    </w:p>
    <w:p w:rsidR="003A56D3" w:rsidRPr="00732503" w:rsidRDefault="003A56D3" w:rsidP="003A56D3">
      <w:pPr>
        <w:rPr>
          <w:b/>
        </w:rPr>
      </w:pPr>
      <w:r w:rsidRPr="00732503">
        <w:rPr>
          <w:b/>
        </w:rPr>
        <w:t>Programme learning outcomes</w:t>
      </w:r>
    </w:p>
    <w:p w:rsidR="003A56D3" w:rsidRPr="00CE13B7" w:rsidRDefault="003A56D3" w:rsidP="003A56D3">
      <w:pPr>
        <w:rPr>
          <w:sz w:val="16"/>
          <w:szCs w:val="16"/>
        </w:rPr>
      </w:pPr>
    </w:p>
    <w:tbl>
      <w:tblPr>
        <w:tblW w:w="9884" w:type="dxa"/>
        <w:tblInd w:w="-60" w:type="dxa"/>
        <w:tblLayout w:type="fixed"/>
        <w:tblLook w:val="0000"/>
      </w:tblPr>
      <w:tblGrid>
        <w:gridCol w:w="558"/>
        <w:gridCol w:w="4713"/>
        <w:gridCol w:w="620"/>
        <w:gridCol w:w="3993"/>
      </w:tblGrid>
      <w:tr w:rsidR="003A56D3" w:rsidRPr="00465E0A" w:rsidTr="007E7777">
        <w:trPr>
          <w:cantSplit/>
        </w:trPr>
        <w:tc>
          <w:tcPr>
            <w:tcW w:w="5271" w:type="dxa"/>
            <w:gridSpan w:val="2"/>
            <w:tcBorders>
              <w:top w:val="single" w:sz="4" w:space="0" w:color="000000"/>
              <w:left w:val="single" w:sz="4" w:space="0" w:color="000000"/>
              <w:bottom w:val="single" w:sz="4" w:space="0" w:color="000000"/>
            </w:tcBorders>
          </w:tcPr>
          <w:p w:rsidR="003A56D3" w:rsidRPr="00CE13B7" w:rsidRDefault="003A56D3" w:rsidP="007E7777">
            <w:pPr>
              <w:rPr>
                <w:b/>
              </w:rPr>
            </w:pPr>
            <w:r w:rsidRPr="00CE13B7">
              <w:rPr>
                <w:b/>
              </w:rPr>
              <w:t>Knowledge and understanding</w:t>
            </w:r>
          </w:p>
        </w:tc>
        <w:tc>
          <w:tcPr>
            <w:tcW w:w="4613" w:type="dxa"/>
            <w:gridSpan w:val="2"/>
            <w:tcBorders>
              <w:top w:val="single" w:sz="4" w:space="0" w:color="000000"/>
              <w:left w:val="single" w:sz="4" w:space="0" w:color="000000"/>
              <w:bottom w:val="single" w:sz="4" w:space="0" w:color="000000"/>
              <w:right w:val="single" w:sz="4" w:space="0" w:color="000000"/>
            </w:tcBorders>
          </w:tcPr>
          <w:p w:rsidR="003A56D3" w:rsidRPr="00CE13B7" w:rsidRDefault="003A56D3" w:rsidP="007E7777">
            <w:pPr>
              <w:rPr>
                <w:b/>
              </w:rPr>
            </w:pPr>
            <w:r w:rsidRPr="00CE13B7">
              <w:rPr>
                <w:b/>
              </w:rPr>
              <w:t>Practical skills</w:t>
            </w:r>
          </w:p>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A1</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Knowledge and understanding of tools and techniques necessary for carrying out digital forensic investigations.</w:t>
            </w:r>
          </w:p>
        </w:tc>
        <w:tc>
          <w:tcPr>
            <w:tcW w:w="620" w:type="dxa"/>
            <w:tcBorders>
              <w:left w:val="single" w:sz="4" w:space="0" w:color="000000"/>
              <w:bottom w:val="single" w:sz="4" w:space="0" w:color="000000"/>
            </w:tcBorders>
          </w:tcPr>
          <w:p w:rsidR="003A56D3" w:rsidRPr="00465E0A" w:rsidRDefault="003A56D3" w:rsidP="007E7777">
            <w:r w:rsidRPr="00465E0A">
              <w:t>C1</w:t>
            </w:r>
          </w:p>
        </w:tc>
        <w:tc>
          <w:tcPr>
            <w:tcW w:w="3993" w:type="dxa"/>
            <w:tcBorders>
              <w:left w:val="single" w:sz="4" w:space="0" w:color="000000"/>
              <w:bottom w:val="single" w:sz="4" w:space="0" w:color="000000"/>
              <w:right w:val="single" w:sz="4" w:space="0" w:color="000000"/>
            </w:tcBorders>
          </w:tcPr>
          <w:p w:rsidR="003A56D3" w:rsidRPr="00732503" w:rsidRDefault="003A56D3" w:rsidP="007E7777">
            <w:pPr>
              <w:snapToGrid w:val="0"/>
            </w:pPr>
            <w:r w:rsidRPr="00732503">
              <w:rPr>
                <w:color w:val="000000"/>
              </w:rPr>
              <w:t>Select and use a variety of modes of discourse for effective communication according to the needs of the intended audience.</w:t>
            </w:r>
          </w:p>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A2</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Knowledge and understanding of the nature, collection and handling of digital evidence in a forensic investigation.</w:t>
            </w:r>
          </w:p>
        </w:tc>
        <w:tc>
          <w:tcPr>
            <w:tcW w:w="620" w:type="dxa"/>
            <w:tcBorders>
              <w:left w:val="single" w:sz="4" w:space="0" w:color="000000"/>
              <w:bottom w:val="single" w:sz="4" w:space="0" w:color="000000"/>
            </w:tcBorders>
          </w:tcPr>
          <w:p w:rsidR="003A56D3" w:rsidRPr="00465E0A" w:rsidRDefault="003A56D3" w:rsidP="007E7777">
            <w:r w:rsidRPr="00465E0A">
              <w:t>C2</w:t>
            </w:r>
          </w:p>
        </w:tc>
        <w:tc>
          <w:tcPr>
            <w:tcW w:w="3993" w:type="dxa"/>
            <w:tcBorders>
              <w:left w:val="single" w:sz="4" w:space="0" w:color="000000"/>
              <w:bottom w:val="single" w:sz="4" w:space="0" w:color="000000"/>
              <w:right w:val="single" w:sz="4" w:space="0" w:color="000000"/>
            </w:tcBorders>
          </w:tcPr>
          <w:p w:rsidR="003A56D3" w:rsidRPr="00732503" w:rsidRDefault="003A56D3" w:rsidP="007E7777">
            <w:pPr>
              <w:snapToGrid w:val="0"/>
            </w:pPr>
            <w:r w:rsidRPr="00732503">
              <w:rPr>
                <w:color w:val="000000"/>
              </w:rPr>
              <w:t>Perform effectively as a member of a team in complex and diverse working environments.</w:t>
            </w:r>
          </w:p>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A3</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Knowledge and understanding of methods and techniques for the analysis of digital evidence</w:t>
            </w:r>
          </w:p>
        </w:tc>
        <w:tc>
          <w:tcPr>
            <w:tcW w:w="620" w:type="dxa"/>
            <w:tcBorders>
              <w:left w:val="single" w:sz="4" w:space="0" w:color="000000"/>
              <w:bottom w:val="single" w:sz="4" w:space="0" w:color="000000"/>
            </w:tcBorders>
          </w:tcPr>
          <w:p w:rsidR="003A56D3" w:rsidRPr="00465E0A" w:rsidRDefault="003A56D3" w:rsidP="007E7777">
            <w:r w:rsidRPr="00465E0A">
              <w:t>C3</w:t>
            </w:r>
          </w:p>
        </w:tc>
        <w:tc>
          <w:tcPr>
            <w:tcW w:w="3993" w:type="dxa"/>
            <w:tcBorders>
              <w:left w:val="single" w:sz="4" w:space="0" w:color="000000"/>
              <w:bottom w:val="single" w:sz="4" w:space="0" w:color="000000"/>
              <w:right w:val="single" w:sz="4" w:space="0" w:color="000000"/>
            </w:tcBorders>
          </w:tcPr>
          <w:p w:rsidR="003A56D3" w:rsidRPr="00732503" w:rsidRDefault="003A56D3" w:rsidP="007E7777">
            <w:pPr>
              <w:snapToGrid w:val="0"/>
            </w:pPr>
            <w:r w:rsidRPr="00732503">
              <w:rPr>
                <w:color w:val="000000"/>
              </w:rPr>
              <w:t>Demonstrate a critical understanding of, and the ability to deploy effectively, a wide range of learning methods resources and technologies, including, but not limited to, Information and Communication Technologies.</w:t>
            </w:r>
          </w:p>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A4</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Knowledge and understanding of electronic crime investigation frameworks, guidelines and procedures.</w:t>
            </w:r>
          </w:p>
        </w:tc>
        <w:tc>
          <w:tcPr>
            <w:tcW w:w="620" w:type="dxa"/>
            <w:tcBorders>
              <w:left w:val="single" w:sz="4" w:space="0" w:color="000000"/>
              <w:bottom w:val="single" w:sz="4" w:space="0" w:color="000000"/>
            </w:tcBorders>
          </w:tcPr>
          <w:p w:rsidR="003A56D3" w:rsidRPr="00465E0A" w:rsidRDefault="003A56D3" w:rsidP="007E7777">
            <w:r w:rsidRPr="00465E0A">
              <w:t>C4</w:t>
            </w:r>
          </w:p>
        </w:tc>
        <w:tc>
          <w:tcPr>
            <w:tcW w:w="3993" w:type="dxa"/>
            <w:tcBorders>
              <w:left w:val="single" w:sz="4" w:space="0" w:color="000000"/>
              <w:bottom w:val="single" w:sz="4" w:space="0" w:color="000000"/>
              <w:right w:val="single" w:sz="4" w:space="0" w:color="000000"/>
            </w:tcBorders>
          </w:tcPr>
          <w:p w:rsidR="003A56D3" w:rsidRPr="00732503" w:rsidRDefault="003A56D3" w:rsidP="007E7777">
            <w:pPr>
              <w:snapToGrid w:val="0"/>
            </w:pPr>
            <w:r w:rsidRPr="00732503">
              <w:rPr>
                <w:color w:val="000000"/>
              </w:rPr>
              <w:t>Manage their own learning and development autonomously, demonstrating time management and organisational skills at a professional level.</w:t>
            </w:r>
          </w:p>
        </w:tc>
      </w:tr>
      <w:tr w:rsidR="003A56D3" w:rsidRPr="00465E0A" w:rsidTr="007E7777">
        <w:tc>
          <w:tcPr>
            <w:tcW w:w="558" w:type="dxa"/>
            <w:tcBorders>
              <w:top w:val="single" w:sz="4" w:space="0" w:color="000000"/>
              <w:left w:val="single" w:sz="4" w:space="0" w:color="000000"/>
              <w:bottom w:val="single" w:sz="4" w:space="0" w:color="auto"/>
            </w:tcBorders>
          </w:tcPr>
          <w:p w:rsidR="003A56D3" w:rsidRDefault="003A56D3" w:rsidP="007E7777">
            <w:r w:rsidRPr="00465E0A">
              <w:t>A5</w:t>
            </w:r>
          </w:p>
          <w:p w:rsidR="003A56D3" w:rsidRPr="00465E0A" w:rsidRDefault="003A56D3" w:rsidP="007E7777"/>
        </w:tc>
        <w:tc>
          <w:tcPr>
            <w:tcW w:w="4713" w:type="dxa"/>
            <w:tcBorders>
              <w:top w:val="single" w:sz="4" w:space="0" w:color="000000"/>
              <w:left w:val="single" w:sz="4" w:space="0" w:color="000000"/>
              <w:bottom w:val="single" w:sz="4" w:space="0" w:color="auto"/>
            </w:tcBorders>
          </w:tcPr>
          <w:p w:rsidR="003A56D3" w:rsidRPr="00732503" w:rsidRDefault="003A56D3" w:rsidP="007E7777">
            <w:pPr>
              <w:snapToGrid w:val="0"/>
            </w:pPr>
            <w:r w:rsidRPr="00732503">
              <w:rPr>
                <w:color w:val="000000"/>
              </w:rPr>
              <w:t>Knowledge and understanding of legal and professional issues related to computer-related crime, digital evidence and digital forensic investigations.</w:t>
            </w:r>
          </w:p>
        </w:tc>
        <w:tc>
          <w:tcPr>
            <w:tcW w:w="620" w:type="dxa"/>
            <w:tcBorders>
              <w:top w:val="single" w:sz="4" w:space="0" w:color="000000"/>
              <w:left w:val="single" w:sz="4" w:space="0" w:color="000000"/>
              <w:bottom w:val="single" w:sz="4" w:space="0" w:color="auto"/>
            </w:tcBorders>
          </w:tcPr>
          <w:p w:rsidR="003A56D3" w:rsidRPr="00465E0A" w:rsidRDefault="003A56D3" w:rsidP="007E7777">
            <w:r w:rsidRPr="00465E0A">
              <w:t>C5</w:t>
            </w:r>
          </w:p>
        </w:tc>
        <w:tc>
          <w:tcPr>
            <w:tcW w:w="3993" w:type="dxa"/>
            <w:tcBorders>
              <w:top w:val="single" w:sz="4" w:space="0" w:color="000000"/>
              <w:left w:val="single" w:sz="4" w:space="0" w:color="000000"/>
              <w:bottom w:val="single" w:sz="4" w:space="0" w:color="auto"/>
              <w:right w:val="single" w:sz="4" w:space="0" w:color="000000"/>
            </w:tcBorders>
          </w:tcPr>
          <w:p w:rsidR="003A56D3" w:rsidRPr="00CE13B7" w:rsidRDefault="003A56D3" w:rsidP="007E7777">
            <w:pPr>
              <w:ind w:left="-2" w:firstLine="2"/>
              <w:rPr>
                <w:color w:val="000000"/>
              </w:rPr>
            </w:pPr>
            <w:r w:rsidRPr="00732503">
              <w:rPr>
                <w:color w:val="000000"/>
              </w:rPr>
              <w:t>Demonstrate self-direction and originality in learning and problem-solving in familiar and unfamiliar situations.</w:t>
            </w:r>
          </w:p>
        </w:tc>
      </w:tr>
      <w:tr w:rsidR="003A56D3" w:rsidRPr="00465E0A" w:rsidTr="007E7777">
        <w:tc>
          <w:tcPr>
            <w:tcW w:w="558" w:type="dxa"/>
            <w:tcBorders>
              <w:top w:val="single" w:sz="4" w:space="0" w:color="auto"/>
              <w:left w:val="single" w:sz="4" w:space="0" w:color="000000"/>
              <w:bottom w:val="single" w:sz="4" w:space="0" w:color="000000"/>
            </w:tcBorders>
          </w:tcPr>
          <w:p w:rsidR="003A56D3" w:rsidRPr="00465E0A" w:rsidRDefault="003A56D3" w:rsidP="007E7777">
            <w:r w:rsidRPr="00465E0A">
              <w:t>A6</w:t>
            </w:r>
          </w:p>
        </w:tc>
        <w:tc>
          <w:tcPr>
            <w:tcW w:w="4713" w:type="dxa"/>
            <w:tcBorders>
              <w:top w:val="single" w:sz="4" w:space="0" w:color="auto"/>
              <w:left w:val="single" w:sz="4" w:space="0" w:color="000000"/>
              <w:bottom w:val="single" w:sz="4" w:space="0" w:color="000000"/>
            </w:tcBorders>
          </w:tcPr>
          <w:p w:rsidR="003A56D3" w:rsidRPr="00732503" w:rsidRDefault="003A56D3" w:rsidP="007E7777">
            <w:pPr>
              <w:snapToGrid w:val="0"/>
            </w:pPr>
            <w:r w:rsidRPr="00732503">
              <w:rPr>
                <w:color w:val="000000"/>
              </w:rPr>
              <w:t>Knowledge and understanding of principles and concepts of information security management.</w:t>
            </w:r>
          </w:p>
        </w:tc>
        <w:tc>
          <w:tcPr>
            <w:tcW w:w="620" w:type="dxa"/>
            <w:tcBorders>
              <w:top w:val="single" w:sz="4" w:space="0" w:color="auto"/>
              <w:left w:val="single" w:sz="4" w:space="0" w:color="000000"/>
              <w:bottom w:val="single" w:sz="4" w:space="0" w:color="000000"/>
            </w:tcBorders>
          </w:tcPr>
          <w:p w:rsidR="003A56D3" w:rsidRPr="00465E0A" w:rsidRDefault="003A56D3" w:rsidP="007E7777">
            <w:r w:rsidRPr="00465E0A">
              <w:t>C6</w:t>
            </w:r>
          </w:p>
        </w:tc>
        <w:tc>
          <w:tcPr>
            <w:tcW w:w="3993" w:type="dxa"/>
            <w:tcBorders>
              <w:top w:val="single" w:sz="4" w:space="0" w:color="auto"/>
              <w:left w:val="single" w:sz="4" w:space="0" w:color="000000"/>
              <w:bottom w:val="single" w:sz="4" w:space="0" w:color="000000"/>
              <w:right w:val="single" w:sz="4" w:space="0" w:color="000000"/>
            </w:tcBorders>
          </w:tcPr>
          <w:p w:rsidR="003A56D3" w:rsidRPr="00732503" w:rsidRDefault="003A56D3" w:rsidP="007E7777">
            <w:pPr>
              <w:snapToGrid w:val="0"/>
            </w:pPr>
            <w:r w:rsidRPr="00732503">
              <w:rPr>
                <w:color w:val="000000"/>
              </w:rPr>
              <w:t>Appreciate the need for continuing professional development in recognition of the need for lifelong learning.</w:t>
            </w:r>
          </w:p>
        </w:tc>
      </w:tr>
      <w:tr w:rsidR="003A56D3" w:rsidRPr="00465E0A" w:rsidTr="007E7777">
        <w:trPr>
          <w:cantSplit/>
        </w:trPr>
        <w:tc>
          <w:tcPr>
            <w:tcW w:w="5271" w:type="dxa"/>
            <w:gridSpan w:val="2"/>
            <w:tcBorders>
              <w:left w:val="single" w:sz="4" w:space="0" w:color="000000"/>
              <w:bottom w:val="single" w:sz="4" w:space="0" w:color="000000"/>
            </w:tcBorders>
          </w:tcPr>
          <w:p w:rsidR="003A56D3" w:rsidRPr="00CE13B7" w:rsidRDefault="003A56D3" w:rsidP="007E7777">
            <w:pPr>
              <w:rPr>
                <w:b/>
              </w:rPr>
            </w:pPr>
            <w:r w:rsidRPr="00CE13B7">
              <w:rPr>
                <w:b/>
              </w:rPr>
              <w:t>Cognitive skills</w:t>
            </w:r>
          </w:p>
        </w:tc>
        <w:tc>
          <w:tcPr>
            <w:tcW w:w="4613" w:type="dxa"/>
            <w:gridSpan w:val="2"/>
            <w:tcBorders>
              <w:left w:val="single" w:sz="4" w:space="0" w:color="000000"/>
              <w:bottom w:val="single" w:sz="4" w:space="0" w:color="000000"/>
              <w:right w:val="single" w:sz="4" w:space="0" w:color="000000"/>
            </w:tcBorders>
          </w:tcPr>
          <w:p w:rsidR="003A56D3" w:rsidRPr="00CE13B7" w:rsidRDefault="003A56D3" w:rsidP="007E7777">
            <w:pPr>
              <w:rPr>
                <w:b/>
              </w:rPr>
            </w:pPr>
            <w:r w:rsidRPr="00CE13B7">
              <w:rPr>
                <w:b/>
              </w:rPr>
              <w:t>Graduate Skills</w:t>
            </w:r>
          </w:p>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B1</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Apply relevant tools and techniques to carry out a digital forensic investigation.</w:t>
            </w:r>
          </w:p>
        </w:tc>
        <w:tc>
          <w:tcPr>
            <w:tcW w:w="620" w:type="dxa"/>
            <w:tcBorders>
              <w:left w:val="single" w:sz="4" w:space="0" w:color="000000"/>
              <w:bottom w:val="single" w:sz="4" w:space="0" w:color="000000"/>
            </w:tcBorders>
          </w:tcPr>
          <w:p w:rsidR="003A56D3" w:rsidRPr="00465E0A" w:rsidRDefault="003A56D3" w:rsidP="007E7777">
            <w:r w:rsidRPr="00465E0A">
              <w:t>D1</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B2</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Investigate, collect and analyse relevant digital evidence from computing devices including mobile platforms.</w:t>
            </w:r>
          </w:p>
        </w:tc>
        <w:tc>
          <w:tcPr>
            <w:tcW w:w="620" w:type="dxa"/>
            <w:tcBorders>
              <w:left w:val="single" w:sz="4" w:space="0" w:color="000000"/>
              <w:bottom w:val="single" w:sz="4" w:space="0" w:color="000000"/>
            </w:tcBorders>
          </w:tcPr>
          <w:p w:rsidR="003A56D3" w:rsidRPr="00465E0A" w:rsidRDefault="003A56D3" w:rsidP="007E7777">
            <w:r w:rsidRPr="00465E0A">
              <w:t>D2</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B3</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Advise on proper procedures for the handling, use and presentation of digital evidence.</w:t>
            </w:r>
          </w:p>
        </w:tc>
        <w:tc>
          <w:tcPr>
            <w:tcW w:w="620" w:type="dxa"/>
            <w:tcBorders>
              <w:left w:val="single" w:sz="4" w:space="0" w:color="000000"/>
              <w:bottom w:val="single" w:sz="4" w:space="0" w:color="000000"/>
            </w:tcBorders>
          </w:tcPr>
          <w:p w:rsidR="003A56D3" w:rsidRPr="00465E0A" w:rsidRDefault="003A56D3" w:rsidP="007E7777">
            <w:r w:rsidRPr="00465E0A">
              <w:t>D3</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B4</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Advise on relevant legal and professional issues related to computer-related crime, digital evidence and digital forensic investigations</w:t>
            </w:r>
          </w:p>
        </w:tc>
        <w:tc>
          <w:tcPr>
            <w:tcW w:w="620" w:type="dxa"/>
            <w:tcBorders>
              <w:left w:val="single" w:sz="4" w:space="0" w:color="000000"/>
              <w:bottom w:val="single" w:sz="4" w:space="0" w:color="000000"/>
            </w:tcBorders>
          </w:tcPr>
          <w:p w:rsidR="003A56D3" w:rsidRPr="00465E0A" w:rsidRDefault="003A56D3" w:rsidP="007E7777">
            <w:r w:rsidRPr="00465E0A">
              <w:t>D4</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B5</w:t>
            </w:r>
          </w:p>
        </w:tc>
        <w:tc>
          <w:tcPr>
            <w:tcW w:w="4713" w:type="dxa"/>
            <w:tcBorders>
              <w:left w:val="single" w:sz="4" w:space="0" w:color="000000"/>
              <w:bottom w:val="single" w:sz="4" w:space="0" w:color="000000"/>
            </w:tcBorders>
          </w:tcPr>
          <w:p w:rsidR="003A56D3" w:rsidRPr="00732503" w:rsidRDefault="003A56D3" w:rsidP="007E7777">
            <w:pPr>
              <w:snapToGrid w:val="0"/>
            </w:pPr>
            <w:r w:rsidRPr="00732503">
              <w:rPr>
                <w:color w:val="000000"/>
              </w:rPr>
              <w:t>Manage information security procedures and processes.</w:t>
            </w:r>
          </w:p>
        </w:tc>
        <w:tc>
          <w:tcPr>
            <w:tcW w:w="620" w:type="dxa"/>
            <w:tcBorders>
              <w:left w:val="single" w:sz="4" w:space="0" w:color="000000"/>
              <w:bottom w:val="single" w:sz="4" w:space="0" w:color="000000"/>
            </w:tcBorders>
          </w:tcPr>
          <w:p w:rsidR="003A56D3" w:rsidRPr="00465E0A" w:rsidRDefault="003A56D3" w:rsidP="007E7777">
            <w:r w:rsidRPr="00465E0A">
              <w:t>D5</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r w:rsidR="003A56D3" w:rsidRPr="00465E0A" w:rsidTr="007E7777">
        <w:tc>
          <w:tcPr>
            <w:tcW w:w="558" w:type="dxa"/>
            <w:tcBorders>
              <w:left w:val="single" w:sz="4" w:space="0" w:color="000000"/>
              <w:bottom w:val="single" w:sz="4" w:space="0" w:color="000000"/>
            </w:tcBorders>
          </w:tcPr>
          <w:p w:rsidR="003A56D3" w:rsidRPr="00465E0A" w:rsidRDefault="003A56D3" w:rsidP="007E7777">
            <w:r w:rsidRPr="00465E0A">
              <w:t>B6</w:t>
            </w:r>
          </w:p>
        </w:tc>
        <w:tc>
          <w:tcPr>
            <w:tcW w:w="4713" w:type="dxa"/>
            <w:tcBorders>
              <w:left w:val="single" w:sz="4" w:space="0" w:color="000000"/>
              <w:bottom w:val="single" w:sz="4" w:space="0" w:color="000000"/>
            </w:tcBorders>
          </w:tcPr>
          <w:p w:rsidR="003A56D3" w:rsidRPr="00732503" w:rsidRDefault="003A56D3" w:rsidP="007E7777">
            <w:pPr>
              <w:rPr>
                <w:color w:val="000000"/>
              </w:rPr>
            </w:pPr>
            <w:r w:rsidRPr="00732503">
              <w:rPr>
                <w:color w:val="000000"/>
              </w:rPr>
              <w:t xml:space="preserve">Analyse information security problems and implement effective solutions as an individual or in cooperation with others.   </w:t>
            </w:r>
          </w:p>
        </w:tc>
        <w:tc>
          <w:tcPr>
            <w:tcW w:w="620" w:type="dxa"/>
            <w:tcBorders>
              <w:left w:val="single" w:sz="4" w:space="0" w:color="000000"/>
              <w:bottom w:val="single" w:sz="4" w:space="0" w:color="000000"/>
            </w:tcBorders>
          </w:tcPr>
          <w:p w:rsidR="003A56D3" w:rsidRPr="00465E0A" w:rsidRDefault="003A56D3" w:rsidP="007E7777">
            <w:r w:rsidRPr="00465E0A">
              <w:t>D6</w:t>
            </w:r>
          </w:p>
        </w:tc>
        <w:tc>
          <w:tcPr>
            <w:tcW w:w="3993" w:type="dxa"/>
            <w:tcBorders>
              <w:left w:val="single" w:sz="4" w:space="0" w:color="000000"/>
              <w:bottom w:val="single" w:sz="4" w:space="0" w:color="000000"/>
              <w:right w:val="single" w:sz="4" w:space="0" w:color="000000"/>
            </w:tcBorders>
          </w:tcPr>
          <w:p w:rsidR="003A56D3" w:rsidRPr="00465E0A" w:rsidRDefault="003A56D3" w:rsidP="007E7777"/>
        </w:tc>
      </w:tr>
    </w:tbl>
    <w:p w:rsidR="003A56D3" w:rsidRDefault="003A56D3" w:rsidP="003A56D3"/>
    <w:p w:rsidR="003A56D3" w:rsidRDefault="003A56D3" w:rsidP="003A56D3"/>
    <w:p w:rsidR="003A56D3" w:rsidRPr="00465E0A" w:rsidRDefault="003A56D3" w:rsidP="003A56D3"/>
    <w:tbl>
      <w:tblPr>
        <w:tblW w:w="0" w:type="auto"/>
        <w:tblInd w:w="108" w:type="dxa"/>
        <w:tblLook w:val="0000"/>
      </w:tblPr>
      <w:tblGrid>
        <w:gridCol w:w="435"/>
        <w:gridCol w:w="435"/>
        <w:gridCol w:w="435"/>
        <w:gridCol w:w="436"/>
        <w:gridCol w:w="436"/>
        <w:gridCol w:w="436"/>
        <w:gridCol w:w="316"/>
        <w:gridCol w:w="436"/>
        <w:gridCol w:w="436"/>
        <w:gridCol w:w="436"/>
        <w:gridCol w:w="436"/>
        <w:gridCol w:w="436"/>
        <w:gridCol w:w="436"/>
        <w:gridCol w:w="316"/>
        <w:gridCol w:w="445"/>
        <w:gridCol w:w="445"/>
        <w:gridCol w:w="445"/>
        <w:gridCol w:w="445"/>
        <w:gridCol w:w="445"/>
        <w:gridCol w:w="445"/>
        <w:gridCol w:w="221"/>
        <w:gridCol w:w="221"/>
        <w:gridCol w:w="221"/>
        <w:gridCol w:w="221"/>
        <w:gridCol w:w="221"/>
        <w:gridCol w:w="221"/>
      </w:tblGrid>
      <w:tr w:rsidR="003A56D3" w:rsidRPr="00F71715" w:rsidTr="007E7777">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3A56D3" w:rsidRPr="00CE13B7" w:rsidRDefault="003A56D3" w:rsidP="007E7777">
            <w:pPr>
              <w:snapToGrid w:val="0"/>
              <w:rPr>
                <w:b/>
                <w:bCs/>
              </w:rPr>
            </w:pPr>
            <w:r w:rsidRPr="00CE13B7">
              <w:rPr>
                <w:b/>
                <w:bCs/>
              </w:rPr>
              <w:t xml:space="preserve">Programme outcomes </w:t>
            </w:r>
          </w:p>
        </w:tc>
      </w:tr>
      <w:tr w:rsidR="003A56D3" w:rsidRPr="00F71715" w:rsidTr="007E7777">
        <w:trPr>
          <w:trHeight w:val="70"/>
        </w:trPr>
        <w:tc>
          <w:tcPr>
            <w:tcW w:w="0" w:type="auto"/>
            <w:tcBorders>
              <w:left w:val="single" w:sz="4" w:space="0" w:color="000000"/>
              <w:bottom w:val="single" w:sz="4" w:space="0" w:color="000000"/>
            </w:tcBorders>
            <w:vAlign w:val="bottom"/>
          </w:tcPr>
          <w:p w:rsidR="003A56D3" w:rsidRPr="00CE13B7" w:rsidRDefault="003A56D3" w:rsidP="007E7777">
            <w:pPr>
              <w:pStyle w:val="Header"/>
              <w:snapToGrid w:val="0"/>
              <w:jc w:val="center"/>
            </w:pPr>
            <w:r w:rsidRPr="00CE13B7">
              <w:t>A1</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A2</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A3</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A4</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A5</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A6</w:t>
            </w:r>
          </w:p>
        </w:tc>
        <w:tc>
          <w:tcPr>
            <w:tcW w:w="317" w:type="dxa"/>
            <w:tcBorders>
              <w:left w:val="single" w:sz="4" w:space="0" w:color="000000"/>
              <w:bottom w:val="single" w:sz="4" w:space="0" w:color="000000"/>
            </w:tcBorders>
            <w:vAlign w:val="bottom"/>
          </w:tcPr>
          <w:p w:rsidR="003A56D3" w:rsidRPr="00CE13B7" w:rsidRDefault="003A56D3" w:rsidP="007E7777">
            <w:pPr>
              <w:snapToGrid w:val="0"/>
              <w:jc w:val="center"/>
            </w:pPr>
          </w:p>
        </w:tc>
        <w:tc>
          <w:tcPr>
            <w:tcW w:w="412" w:type="dxa"/>
            <w:tcBorders>
              <w:left w:val="single" w:sz="4" w:space="0" w:color="000000"/>
              <w:bottom w:val="single" w:sz="4" w:space="0" w:color="000000"/>
            </w:tcBorders>
            <w:vAlign w:val="bottom"/>
          </w:tcPr>
          <w:p w:rsidR="003A56D3" w:rsidRPr="00CE13B7" w:rsidRDefault="003A56D3" w:rsidP="007E7777">
            <w:pPr>
              <w:snapToGrid w:val="0"/>
              <w:jc w:val="center"/>
            </w:pPr>
            <w:r w:rsidRPr="00CE13B7">
              <w:t>B1</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B2</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B3</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B4</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B5</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B6</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C1</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C2</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C3</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C4</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C5</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r w:rsidRPr="00CE13B7">
              <w:t>C6</w:t>
            </w: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bottom"/>
          </w:tcPr>
          <w:p w:rsidR="003A56D3" w:rsidRPr="00CE13B7" w:rsidRDefault="003A56D3" w:rsidP="007E7777">
            <w:pPr>
              <w:snapToGrid w:val="0"/>
              <w:jc w:val="center"/>
            </w:pPr>
          </w:p>
        </w:tc>
        <w:tc>
          <w:tcPr>
            <w:tcW w:w="0" w:type="auto"/>
            <w:tcBorders>
              <w:left w:val="single" w:sz="4" w:space="0" w:color="000000"/>
              <w:bottom w:val="single" w:sz="4" w:space="0" w:color="000000"/>
              <w:right w:val="single" w:sz="4" w:space="0" w:color="000000"/>
            </w:tcBorders>
            <w:vAlign w:val="bottom"/>
          </w:tcPr>
          <w:p w:rsidR="003A56D3" w:rsidRPr="00CE13B7" w:rsidRDefault="003A56D3" w:rsidP="007E7777">
            <w:pPr>
              <w:snapToGrid w:val="0"/>
              <w:jc w:val="center"/>
            </w:pPr>
          </w:p>
        </w:tc>
      </w:tr>
      <w:tr w:rsidR="003A56D3" w:rsidRPr="00F71715" w:rsidTr="007E7777">
        <w:tc>
          <w:tcPr>
            <w:tcW w:w="0" w:type="auto"/>
            <w:gridSpan w:val="26"/>
            <w:tcBorders>
              <w:left w:val="single" w:sz="4" w:space="0" w:color="000000"/>
              <w:bottom w:val="single" w:sz="4" w:space="0" w:color="000000"/>
              <w:right w:val="single" w:sz="4" w:space="0" w:color="000000"/>
            </w:tcBorders>
          </w:tcPr>
          <w:p w:rsidR="003A56D3" w:rsidRPr="00CE13B7" w:rsidRDefault="003A56D3" w:rsidP="007E7777">
            <w:pPr>
              <w:snapToGrid w:val="0"/>
              <w:rPr>
                <w:b/>
                <w:bCs/>
              </w:rPr>
            </w:pPr>
            <w:r w:rsidRPr="00CE13B7">
              <w:rPr>
                <w:b/>
                <w:bCs/>
              </w:rPr>
              <w:t>Highest level achieved by all graduates</w:t>
            </w:r>
          </w:p>
        </w:tc>
      </w:tr>
      <w:tr w:rsidR="003A56D3" w:rsidRPr="00F71715" w:rsidTr="007E7777">
        <w:tc>
          <w:tcPr>
            <w:tcW w:w="0" w:type="auto"/>
            <w:tcBorders>
              <w:left w:val="single" w:sz="4" w:space="0" w:color="000000"/>
              <w:bottom w:val="single" w:sz="4" w:space="0" w:color="000000"/>
            </w:tcBorders>
            <w:vAlign w:val="center"/>
          </w:tcPr>
          <w:p w:rsidR="003A56D3" w:rsidRPr="00CE13B7" w:rsidRDefault="003A56D3" w:rsidP="007E7777">
            <w:pPr>
              <w:pStyle w:val="Heade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317" w:type="dxa"/>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412" w:type="dxa"/>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r w:rsidRPr="00CE13B7">
              <w:t>7</w:t>
            </w: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p>
        </w:tc>
        <w:tc>
          <w:tcPr>
            <w:tcW w:w="0" w:type="auto"/>
            <w:tcBorders>
              <w:left w:val="single" w:sz="4" w:space="0" w:color="000000"/>
              <w:bottom w:val="single" w:sz="4" w:space="0" w:color="000000"/>
            </w:tcBorders>
            <w:vAlign w:val="center"/>
          </w:tcPr>
          <w:p w:rsidR="003A56D3" w:rsidRPr="00CE13B7" w:rsidRDefault="003A56D3" w:rsidP="007E7777">
            <w:pPr>
              <w:snapToGrid w:val="0"/>
              <w:jc w:val="center"/>
            </w:pPr>
          </w:p>
        </w:tc>
        <w:tc>
          <w:tcPr>
            <w:tcW w:w="0" w:type="auto"/>
            <w:tcBorders>
              <w:left w:val="single" w:sz="4" w:space="0" w:color="000000"/>
              <w:bottom w:val="single" w:sz="4" w:space="0" w:color="000000"/>
              <w:right w:val="single" w:sz="4" w:space="0" w:color="000000"/>
            </w:tcBorders>
            <w:vAlign w:val="center"/>
          </w:tcPr>
          <w:p w:rsidR="003A56D3" w:rsidRPr="00CE13B7" w:rsidRDefault="003A56D3" w:rsidP="007E7777">
            <w:pPr>
              <w:snapToGrid w:val="0"/>
              <w:jc w:val="center"/>
            </w:pPr>
          </w:p>
        </w:tc>
      </w:tr>
    </w:tbl>
    <w:p w:rsidR="003A56D3" w:rsidRPr="00465E0A" w:rsidRDefault="003A56D3" w:rsidP="003A56D3"/>
    <w:p w:rsidR="003A56D3" w:rsidRPr="00465E0A" w:rsidRDefault="003A56D3" w:rsidP="003A56D3"/>
    <w:tbl>
      <w:tblPr>
        <w:tblW w:w="5000" w:type="pct"/>
        <w:tblCellMar>
          <w:left w:w="72" w:type="dxa"/>
          <w:right w:w="72" w:type="dxa"/>
        </w:tblCellMar>
        <w:tblLook w:val="0000"/>
      </w:tblPr>
      <w:tblGrid>
        <w:gridCol w:w="1705"/>
        <w:gridCol w:w="1054"/>
        <w:gridCol w:w="396"/>
        <w:gridCol w:w="394"/>
        <w:gridCol w:w="394"/>
        <w:gridCol w:w="394"/>
        <w:gridCol w:w="396"/>
        <w:gridCol w:w="394"/>
        <w:gridCol w:w="394"/>
        <w:gridCol w:w="394"/>
        <w:gridCol w:w="396"/>
        <w:gridCol w:w="394"/>
        <w:gridCol w:w="394"/>
        <w:gridCol w:w="394"/>
        <w:gridCol w:w="400"/>
        <w:gridCol w:w="400"/>
        <w:gridCol w:w="400"/>
        <w:gridCol w:w="400"/>
        <w:gridCol w:w="400"/>
        <w:gridCol w:w="400"/>
      </w:tblGrid>
      <w:tr w:rsidR="003A56D3" w:rsidRPr="00F71715" w:rsidTr="003A56D3">
        <w:trPr>
          <w:cantSplit/>
          <w:trHeight w:hRule="exact" w:val="297"/>
        </w:trPr>
        <w:tc>
          <w:tcPr>
            <w:tcW w:w="863" w:type="pct"/>
            <w:vMerge w:val="restart"/>
            <w:tcBorders>
              <w:top w:val="single" w:sz="4" w:space="0" w:color="000000"/>
              <w:left w:val="single" w:sz="4" w:space="0" w:color="000000"/>
              <w:bottom w:val="single" w:sz="4" w:space="0" w:color="000000"/>
            </w:tcBorders>
            <w:shd w:val="clear" w:color="auto" w:fill="DFDFDF"/>
          </w:tcPr>
          <w:p w:rsidR="003A56D3" w:rsidRPr="00CE13B7" w:rsidRDefault="003A56D3" w:rsidP="007E7777">
            <w:pPr>
              <w:snapToGrid w:val="0"/>
              <w:rPr>
                <w:b/>
                <w:sz w:val="20"/>
                <w:szCs w:val="20"/>
              </w:rPr>
            </w:pPr>
          </w:p>
          <w:p w:rsidR="003A56D3" w:rsidRPr="00CE13B7" w:rsidRDefault="003A56D3" w:rsidP="007E7777">
            <w:pPr>
              <w:snapToGrid w:val="0"/>
              <w:rPr>
                <w:b/>
                <w:sz w:val="20"/>
                <w:szCs w:val="20"/>
              </w:rPr>
            </w:pPr>
            <w:r w:rsidRPr="00CE13B7">
              <w:rPr>
                <w:b/>
                <w:sz w:val="20"/>
                <w:szCs w:val="20"/>
              </w:rPr>
              <w:t xml:space="preserve">Module Title </w:t>
            </w:r>
          </w:p>
        </w:tc>
        <w:tc>
          <w:tcPr>
            <w:tcW w:w="534" w:type="pct"/>
            <w:vMerge w:val="restart"/>
            <w:tcBorders>
              <w:top w:val="single" w:sz="4" w:space="0" w:color="000000"/>
              <w:left w:val="single" w:sz="4" w:space="0" w:color="000000"/>
            </w:tcBorders>
            <w:shd w:val="clear" w:color="auto" w:fill="DFDFDF"/>
          </w:tcPr>
          <w:p w:rsidR="003A56D3" w:rsidRPr="00CE13B7" w:rsidRDefault="003A56D3" w:rsidP="007E7777">
            <w:pPr>
              <w:snapToGrid w:val="0"/>
              <w:rPr>
                <w:b/>
                <w:sz w:val="20"/>
                <w:szCs w:val="20"/>
              </w:rPr>
            </w:pPr>
          </w:p>
          <w:p w:rsidR="003A56D3" w:rsidRPr="00CE13B7" w:rsidRDefault="003A56D3" w:rsidP="007E7777">
            <w:pPr>
              <w:snapToGrid w:val="0"/>
              <w:rPr>
                <w:b/>
                <w:sz w:val="20"/>
                <w:szCs w:val="20"/>
              </w:rPr>
            </w:pPr>
            <w:r w:rsidRPr="00CE13B7">
              <w:rPr>
                <w:b/>
                <w:sz w:val="20"/>
                <w:szCs w:val="20"/>
              </w:rPr>
              <w:t>Module Code and Level</w:t>
            </w:r>
          </w:p>
        </w:tc>
        <w:tc>
          <w:tcPr>
            <w:tcW w:w="3603" w:type="pct"/>
            <w:gridSpan w:val="18"/>
            <w:tcBorders>
              <w:top w:val="single" w:sz="4" w:space="0" w:color="000000"/>
              <w:left w:val="single" w:sz="4" w:space="0" w:color="000000"/>
              <w:right w:val="single" w:sz="4" w:space="0" w:color="000000"/>
            </w:tcBorders>
            <w:shd w:val="clear" w:color="auto" w:fill="DFDFDF"/>
          </w:tcPr>
          <w:p w:rsidR="003A56D3" w:rsidRPr="00CE13B7" w:rsidRDefault="003A56D3" w:rsidP="007E7777">
            <w:pPr>
              <w:snapToGrid w:val="0"/>
              <w:spacing w:before="40"/>
              <w:jc w:val="center"/>
              <w:rPr>
                <w:b/>
                <w:sz w:val="20"/>
                <w:szCs w:val="20"/>
              </w:rPr>
            </w:pPr>
            <w:r w:rsidRPr="00CE13B7">
              <w:rPr>
                <w:b/>
                <w:sz w:val="20"/>
                <w:szCs w:val="20"/>
              </w:rPr>
              <w:t>Programme outcomes</w:t>
            </w:r>
          </w:p>
        </w:tc>
      </w:tr>
      <w:tr w:rsidR="003A56D3" w:rsidRPr="00D9517F" w:rsidTr="003A56D3">
        <w:trPr>
          <w:cantSplit/>
          <w:trHeight w:val="235"/>
        </w:trPr>
        <w:tc>
          <w:tcPr>
            <w:tcW w:w="863" w:type="pct"/>
            <w:vMerge/>
            <w:tcBorders>
              <w:top w:val="single" w:sz="4" w:space="0" w:color="000000"/>
              <w:left w:val="single" w:sz="4" w:space="0" w:color="000000"/>
              <w:bottom w:val="single" w:sz="4" w:space="0" w:color="000000"/>
            </w:tcBorders>
            <w:shd w:val="clear" w:color="FFFFFF" w:fill="C0C0C0"/>
          </w:tcPr>
          <w:p w:rsidR="003A56D3" w:rsidRPr="00F71715" w:rsidRDefault="003A56D3" w:rsidP="007E7777"/>
        </w:tc>
        <w:tc>
          <w:tcPr>
            <w:tcW w:w="534" w:type="pct"/>
            <w:vMerge/>
            <w:tcBorders>
              <w:top w:val="single" w:sz="4" w:space="0" w:color="000000"/>
              <w:left w:val="single" w:sz="4" w:space="0" w:color="000000"/>
            </w:tcBorders>
            <w:shd w:val="clear" w:color="FFFFFF" w:fill="C0C0C0"/>
          </w:tcPr>
          <w:p w:rsidR="003A56D3" w:rsidRPr="00F71715" w:rsidRDefault="003A56D3" w:rsidP="007E7777"/>
        </w:tc>
        <w:tc>
          <w:tcPr>
            <w:tcW w:w="201" w:type="pct"/>
            <w:tcBorders>
              <w:top w:val="single" w:sz="4" w:space="0" w:color="000000"/>
              <w:left w:val="single" w:sz="4" w:space="0" w:color="000000"/>
            </w:tcBorders>
            <w:shd w:val="clear" w:color="FFFFFF" w:fill="C0C0C0"/>
            <w:vAlign w:val="center"/>
          </w:tcPr>
          <w:p w:rsidR="003A56D3" w:rsidRPr="00CE13B7" w:rsidRDefault="003A56D3" w:rsidP="007E7777">
            <w:pPr>
              <w:pStyle w:val="Header"/>
              <w:snapToGrid w:val="0"/>
              <w:jc w:val="center"/>
              <w:rPr>
                <w:sz w:val="20"/>
                <w:szCs w:val="20"/>
              </w:rPr>
            </w:pPr>
            <w:r w:rsidRPr="00CE13B7">
              <w:rPr>
                <w:sz w:val="20"/>
                <w:szCs w:val="20"/>
              </w:rPr>
              <w:t>A1</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A2</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A3</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A4</w:t>
            </w:r>
          </w:p>
        </w:tc>
        <w:tc>
          <w:tcPr>
            <w:tcW w:w="201"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A5</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p>
          <w:p w:rsidR="003A56D3" w:rsidRPr="00CE13B7" w:rsidRDefault="003A56D3" w:rsidP="007E7777">
            <w:pPr>
              <w:snapToGrid w:val="0"/>
              <w:jc w:val="center"/>
              <w:rPr>
                <w:sz w:val="20"/>
                <w:szCs w:val="20"/>
              </w:rPr>
            </w:pPr>
            <w:r w:rsidRPr="00CE13B7">
              <w:rPr>
                <w:sz w:val="20"/>
                <w:szCs w:val="20"/>
              </w:rPr>
              <w:t>A6</w:t>
            </w:r>
          </w:p>
          <w:p w:rsidR="003A56D3" w:rsidRPr="00CE13B7" w:rsidRDefault="003A56D3" w:rsidP="007E7777">
            <w:pPr>
              <w:snapToGrid w:val="0"/>
              <w:jc w:val="center"/>
              <w:rPr>
                <w:sz w:val="20"/>
                <w:szCs w:val="20"/>
              </w:rPr>
            </w:pP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B1</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B2</w:t>
            </w:r>
          </w:p>
        </w:tc>
        <w:tc>
          <w:tcPr>
            <w:tcW w:w="201"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B3</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B4</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B5</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B6</w:t>
            </w:r>
          </w:p>
        </w:tc>
        <w:tc>
          <w:tcPr>
            <w:tcW w:w="201"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C1</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C2</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C3</w:t>
            </w:r>
          </w:p>
        </w:tc>
        <w:tc>
          <w:tcPr>
            <w:tcW w:w="200"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C4</w:t>
            </w:r>
          </w:p>
        </w:tc>
        <w:tc>
          <w:tcPr>
            <w:tcW w:w="201" w:type="pct"/>
            <w:tcBorders>
              <w:top w:val="single" w:sz="4" w:space="0" w:color="000000"/>
              <w:left w:val="single" w:sz="4" w:space="0" w:color="000000"/>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C5</w:t>
            </w:r>
          </w:p>
        </w:tc>
        <w:tc>
          <w:tcPr>
            <w:tcW w:w="200" w:type="pct"/>
            <w:tcBorders>
              <w:top w:val="single" w:sz="4" w:space="0" w:color="000000"/>
              <w:left w:val="single" w:sz="4" w:space="0" w:color="000000"/>
              <w:bottom w:val="single" w:sz="4" w:space="0" w:color="000000"/>
              <w:right w:val="single" w:sz="4" w:space="0" w:color="auto"/>
            </w:tcBorders>
            <w:shd w:val="clear" w:color="FFFFFF" w:fill="C0C0C0"/>
            <w:vAlign w:val="center"/>
          </w:tcPr>
          <w:p w:rsidR="003A56D3" w:rsidRPr="00CE13B7" w:rsidRDefault="003A56D3" w:rsidP="007E7777">
            <w:pPr>
              <w:snapToGrid w:val="0"/>
              <w:jc w:val="center"/>
              <w:rPr>
                <w:sz w:val="20"/>
                <w:szCs w:val="20"/>
              </w:rPr>
            </w:pPr>
            <w:r w:rsidRPr="00CE13B7">
              <w:rPr>
                <w:sz w:val="20"/>
                <w:szCs w:val="20"/>
              </w:rPr>
              <w:t>C6</w:t>
            </w:r>
          </w:p>
        </w:tc>
      </w:tr>
      <w:tr w:rsidR="003A56D3" w:rsidRPr="00772F82" w:rsidTr="003A56D3">
        <w:trPr>
          <w:cantSplit/>
        </w:trPr>
        <w:tc>
          <w:tcPr>
            <w:tcW w:w="863" w:type="pct"/>
            <w:tcBorders>
              <w:left w:val="single" w:sz="4" w:space="0" w:color="000000"/>
              <w:bottom w:val="single" w:sz="4" w:space="0" w:color="000000"/>
            </w:tcBorders>
          </w:tcPr>
          <w:p w:rsidR="003A56D3" w:rsidRPr="00CE13B7" w:rsidRDefault="003A56D3" w:rsidP="007E7777">
            <w:pPr>
              <w:snapToGrid w:val="0"/>
              <w:rPr>
                <w:sz w:val="20"/>
                <w:szCs w:val="20"/>
              </w:rPr>
            </w:pPr>
            <w:r w:rsidRPr="00CE13B7">
              <w:rPr>
                <w:sz w:val="20"/>
                <w:szCs w:val="20"/>
                <w:lang w:val="en-US"/>
              </w:rPr>
              <w:t>Legal and Professional Aspects of Digital Forensics</w:t>
            </w:r>
          </w:p>
        </w:tc>
        <w:tc>
          <w:tcPr>
            <w:tcW w:w="534" w:type="pct"/>
            <w:tcBorders>
              <w:top w:val="single" w:sz="4" w:space="0" w:color="000000"/>
              <w:left w:val="single" w:sz="4" w:space="0" w:color="000000"/>
              <w:bottom w:val="single" w:sz="4" w:space="0" w:color="000000"/>
            </w:tcBorders>
          </w:tcPr>
          <w:p w:rsidR="003A56D3" w:rsidRPr="00CE13B7" w:rsidRDefault="003A56D3" w:rsidP="007E7777">
            <w:pPr>
              <w:snapToGrid w:val="0"/>
              <w:spacing w:before="60"/>
              <w:rPr>
                <w:sz w:val="20"/>
                <w:szCs w:val="20"/>
              </w:rPr>
            </w:pPr>
            <w:r w:rsidRPr="00CE13B7">
              <w:rPr>
                <w:sz w:val="20"/>
                <w:szCs w:val="20"/>
                <w:lang w:val="en-US"/>
              </w:rPr>
              <w:t>BIS4600</w:t>
            </w:r>
          </w:p>
        </w:tc>
        <w:tc>
          <w:tcPr>
            <w:tcW w:w="201" w:type="pct"/>
            <w:tcBorders>
              <w:top w:val="single" w:sz="4" w:space="0" w:color="000000"/>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top w:val="single" w:sz="4" w:space="0" w:color="000000"/>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right w:val="single" w:sz="4" w:space="0" w:color="auto"/>
            </w:tcBorders>
          </w:tcPr>
          <w:p w:rsidR="003A56D3" w:rsidRPr="00DA058A" w:rsidRDefault="003A56D3" w:rsidP="007E7777">
            <w:pPr>
              <w:spacing w:before="40" w:after="40"/>
              <w:rPr>
                <w:sz w:val="18"/>
                <w:szCs w:val="18"/>
              </w:rPr>
            </w:pPr>
            <w:r>
              <w:rPr>
                <w:sz w:val="18"/>
                <w:szCs w:val="18"/>
              </w:rPr>
              <w:sym w:font="Wingdings" w:char="F0FC"/>
            </w:r>
          </w:p>
        </w:tc>
      </w:tr>
      <w:tr w:rsidR="003A56D3" w:rsidRPr="00772F82" w:rsidTr="003A56D3">
        <w:trPr>
          <w:cantSplit/>
        </w:trPr>
        <w:tc>
          <w:tcPr>
            <w:tcW w:w="863" w:type="pct"/>
            <w:tcBorders>
              <w:left w:val="single" w:sz="4" w:space="0" w:color="000000"/>
              <w:bottom w:val="single" w:sz="4" w:space="0" w:color="000000"/>
            </w:tcBorders>
          </w:tcPr>
          <w:p w:rsidR="003A56D3" w:rsidRPr="00CE13B7" w:rsidRDefault="003A56D3" w:rsidP="007E7777">
            <w:pPr>
              <w:snapToGrid w:val="0"/>
              <w:rPr>
                <w:sz w:val="20"/>
                <w:szCs w:val="20"/>
              </w:rPr>
            </w:pPr>
            <w:r w:rsidRPr="00CE13B7">
              <w:rPr>
                <w:sz w:val="20"/>
                <w:szCs w:val="20"/>
                <w:lang w:val="en-US"/>
              </w:rPr>
              <w:t>Digital Evidence Management and Forensic Processes</w:t>
            </w:r>
          </w:p>
        </w:tc>
        <w:tc>
          <w:tcPr>
            <w:tcW w:w="534" w:type="pct"/>
            <w:tcBorders>
              <w:left w:val="single" w:sz="4" w:space="0" w:color="000000"/>
              <w:bottom w:val="single" w:sz="4" w:space="0" w:color="000000"/>
            </w:tcBorders>
          </w:tcPr>
          <w:p w:rsidR="003A56D3" w:rsidRPr="00CE13B7" w:rsidRDefault="003A56D3" w:rsidP="007E7777">
            <w:pPr>
              <w:spacing w:before="40" w:after="40"/>
              <w:rPr>
                <w:sz w:val="20"/>
                <w:szCs w:val="20"/>
                <w:lang w:val="en-US"/>
              </w:rPr>
            </w:pPr>
            <w:r w:rsidRPr="00CE13B7">
              <w:rPr>
                <w:sz w:val="20"/>
                <w:szCs w:val="20"/>
                <w:lang w:val="en-US"/>
              </w:rPr>
              <w:t>BIS4605</w:t>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right w:val="single" w:sz="4" w:space="0" w:color="auto"/>
            </w:tcBorders>
            <w:vAlign w:val="center"/>
          </w:tcPr>
          <w:p w:rsidR="003A56D3" w:rsidRPr="00772F82" w:rsidRDefault="003A56D3" w:rsidP="007E7777">
            <w:pPr>
              <w:snapToGrid w:val="0"/>
              <w:jc w:val="center"/>
              <w:rPr>
                <w:sz w:val="12"/>
                <w:szCs w:val="12"/>
              </w:rPr>
            </w:pPr>
          </w:p>
        </w:tc>
      </w:tr>
      <w:tr w:rsidR="003A56D3" w:rsidRPr="00772F82" w:rsidTr="003A56D3">
        <w:trPr>
          <w:cantSplit/>
          <w:trHeight w:val="425"/>
        </w:trPr>
        <w:tc>
          <w:tcPr>
            <w:tcW w:w="863" w:type="pct"/>
            <w:tcBorders>
              <w:left w:val="single" w:sz="4" w:space="0" w:color="000000"/>
              <w:bottom w:val="single" w:sz="4" w:space="0" w:color="000000"/>
            </w:tcBorders>
          </w:tcPr>
          <w:p w:rsidR="003A56D3" w:rsidRPr="00CE13B7" w:rsidRDefault="003A56D3" w:rsidP="007E7777">
            <w:pPr>
              <w:snapToGrid w:val="0"/>
              <w:rPr>
                <w:sz w:val="20"/>
                <w:szCs w:val="20"/>
              </w:rPr>
            </w:pPr>
            <w:r w:rsidRPr="00CE13B7">
              <w:rPr>
                <w:sz w:val="20"/>
                <w:szCs w:val="20"/>
                <w:lang w:val="en-US"/>
              </w:rPr>
              <w:t>Information Security Management</w:t>
            </w:r>
          </w:p>
        </w:tc>
        <w:tc>
          <w:tcPr>
            <w:tcW w:w="534" w:type="pct"/>
            <w:tcBorders>
              <w:left w:val="single" w:sz="4" w:space="0" w:color="000000"/>
              <w:bottom w:val="single" w:sz="4" w:space="0" w:color="000000"/>
            </w:tcBorders>
          </w:tcPr>
          <w:p w:rsidR="003A56D3" w:rsidRPr="00CE13B7" w:rsidRDefault="003A56D3" w:rsidP="007E7777">
            <w:pPr>
              <w:spacing w:before="40" w:after="40"/>
              <w:rPr>
                <w:sz w:val="20"/>
                <w:szCs w:val="20"/>
              </w:rPr>
            </w:pPr>
            <w:r w:rsidRPr="00CE13B7">
              <w:rPr>
                <w:sz w:val="20"/>
                <w:szCs w:val="20"/>
                <w:lang w:val="en-US"/>
              </w:rPr>
              <w:t>BIS4610</w:t>
            </w: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top w:val="single" w:sz="4" w:space="0" w:color="000000"/>
              <w:left w:val="single" w:sz="4" w:space="0" w:color="000000"/>
              <w:bottom w:val="single" w:sz="4" w:space="0" w:color="000000"/>
              <w:right w:val="single" w:sz="4" w:space="0" w:color="auto"/>
            </w:tcBorders>
          </w:tcPr>
          <w:p w:rsidR="003A56D3" w:rsidRPr="00DA058A" w:rsidRDefault="003A56D3" w:rsidP="007E7777">
            <w:pPr>
              <w:spacing w:before="40" w:after="40"/>
              <w:rPr>
                <w:sz w:val="18"/>
                <w:szCs w:val="18"/>
              </w:rPr>
            </w:pPr>
            <w:r>
              <w:rPr>
                <w:sz w:val="18"/>
                <w:szCs w:val="18"/>
              </w:rPr>
              <w:sym w:font="Wingdings" w:char="F0FC"/>
            </w:r>
          </w:p>
        </w:tc>
      </w:tr>
      <w:tr w:rsidR="003A56D3" w:rsidRPr="00772F82" w:rsidTr="003A56D3">
        <w:trPr>
          <w:cantSplit/>
        </w:trPr>
        <w:tc>
          <w:tcPr>
            <w:tcW w:w="863" w:type="pct"/>
            <w:tcBorders>
              <w:left w:val="single" w:sz="4" w:space="0" w:color="000000"/>
              <w:bottom w:val="single" w:sz="4" w:space="0" w:color="000000"/>
            </w:tcBorders>
          </w:tcPr>
          <w:p w:rsidR="003A56D3" w:rsidRPr="00CE13B7" w:rsidRDefault="003A56D3" w:rsidP="007E7777">
            <w:pPr>
              <w:snapToGrid w:val="0"/>
              <w:rPr>
                <w:sz w:val="20"/>
                <w:szCs w:val="20"/>
              </w:rPr>
            </w:pPr>
            <w:r w:rsidRPr="00CE13B7">
              <w:rPr>
                <w:sz w:val="20"/>
                <w:szCs w:val="20"/>
                <w:lang w:val="en-US"/>
              </w:rPr>
              <w:t>Digital Investigation</w:t>
            </w:r>
          </w:p>
        </w:tc>
        <w:tc>
          <w:tcPr>
            <w:tcW w:w="534" w:type="pct"/>
            <w:tcBorders>
              <w:left w:val="single" w:sz="4" w:space="0" w:color="000000"/>
              <w:bottom w:val="single" w:sz="4" w:space="0" w:color="000000"/>
            </w:tcBorders>
          </w:tcPr>
          <w:p w:rsidR="003A56D3" w:rsidRPr="00CE13B7" w:rsidRDefault="003A56D3" w:rsidP="007E7777">
            <w:pPr>
              <w:spacing w:before="40" w:after="40"/>
              <w:rPr>
                <w:sz w:val="20"/>
                <w:szCs w:val="20"/>
              </w:rPr>
            </w:pPr>
            <w:r w:rsidRPr="00CE13B7">
              <w:rPr>
                <w:sz w:val="20"/>
                <w:szCs w:val="20"/>
                <w:lang w:val="en-US"/>
              </w:rPr>
              <w:t>BIS4615</w:t>
            </w: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right w:val="single" w:sz="4" w:space="0" w:color="auto"/>
            </w:tcBorders>
            <w:vAlign w:val="center"/>
          </w:tcPr>
          <w:p w:rsidR="003A56D3" w:rsidRPr="00772F82" w:rsidRDefault="003A56D3" w:rsidP="007E7777">
            <w:pPr>
              <w:snapToGrid w:val="0"/>
              <w:jc w:val="center"/>
              <w:rPr>
                <w:sz w:val="12"/>
                <w:szCs w:val="12"/>
              </w:rPr>
            </w:pPr>
          </w:p>
        </w:tc>
      </w:tr>
      <w:tr w:rsidR="003A56D3" w:rsidRPr="00772F82" w:rsidTr="003A56D3">
        <w:trPr>
          <w:cantSplit/>
          <w:trHeight w:val="348"/>
        </w:trPr>
        <w:tc>
          <w:tcPr>
            <w:tcW w:w="863" w:type="pct"/>
            <w:tcBorders>
              <w:left w:val="single" w:sz="4" w:space="0" w:color="000000"/>
              <w:bottom w:val="single" w:sz="4" w:space="0" w:color="000000"/>
            </w:tcBorders>
          </w:tcPr>
          <w:p w:rsidR="003A56D3" w:rsidRPr="00CE13B7" w:rsidRDefault="003A56D3" w:rsidP="007E7777">
            <w:pPr>
              <w:snapToGrid w:val="0"/>
              <w:rPr>
                <w:sz w:val="20"/>
                <w:szCs w:val="20"/>
              </w:rPr>
            </w:pPr>
            <w:r w:rsidRPr="00CE13B7">
              <w:rPr>
                <w:sz w:val="20"/>
                <w:szCs w:val="20"/>
                <w:lang w:val="en-US"/>
              </w:rPr>
              <w:t>Postgraduate Computing Project</w:t>
            </w:r>
          </w:p>
        </w:tc>
        <w:tc>
          <w:tcPr>
            <w:tcW w:w="534" w:type="pct"/>
            <w:tcBorders>
              <w:left w:val="single" w:sz="4" w:space="0" w:color="000000"/>
              <w:bottom w:val="single" w:sz="4" w:space="0" w:color="000000"/>
            </w:tcBorders>
          </w:tcPr>
          <w:p w:rsidR="003A56D3" w:rsidRPr="00CE13B7" w:rsidRDefault="003A56D3" w:rsidP="007E7777">
            <w:pPr>
              <w:spacing w:before="40" w:after="40"/>
              <w:rPr>
                <w:sz w:val="20"/>
                <w:szCs w:val="20"/>
              </w:rPr>
            </w:pPr>
            <w:r w:rsidRPr="00CE13B7">
              <w:rPr>
                <w:sz w:val="20"/>
                <w:szCs w:val="20"/>
                <w:lang w:val="en-US"/>
              </w:rPr>
              <w:t>BIS4992</w:t>
            </w: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1"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0" w:type="pct"/>
            <w:tcBorders>
              <w:left w:val="single" w:sz="4" w:space="0" w:color="000000"/>
              <w:bottom w:val="single" w:sz="4" w:space="0" w:color="000000"/>
            </w:tcBorders>
            <w:vAlign w:val="center"/>
          </w:tcPr>
          <w:p w:rsidR="003A56D3" w:rsidRPr="00772F82" w:rsidRDefault="003A56D3" w:rsidP="007E7777">
            <w:pPr>
              <w:snapToGrid w:val="0"/>
              <w:jc w:val="center"/>
              <w:rPr>
                <w:sz w:val="12"/>
                <w:szCs w:val="12"/>
              </w:rPr>
            </w:pP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1" w:type="pct"/>
            <w:tcBorders>
              <w:left w:val="single" w:sz="4" w:space="0" w:color="000000"/>
              <w:bottom w:val="single" w:sz="4" w:space="0" w:color="000000"/>
            </w:tcBorders>
          </w:tcPr>
          <w:p w:rsidR="003A56D3" w:rsidRPr="00DA058A" w:rsidRDefault="003A56D3" w:rsidP="007E7777">
            <w:pPr>
              <w:spacing w:before="40" w:after="40"/>
              <w:rPr>
                <w:sz w:val="18"/>
                <w:szCs w:val="18"/>
              </w:rPr>
            </w:pPr>
            <w:r>
              <w:rPr>
                <w:sz w:val="18"/>
                <w:szCs w:val="18"/>
              </w:rPr>
              <w:sym w:font="Wingdings" w:char="F0FC"/>
            </w:r>
          </w:p>
        </w:tc>
        <w:tc>
          <w:tcPr>
            <w:tcW w:w="200" w:type="pct"/>
            <w:tcBorders>
              <w:top w:val="single" w:sz="4" w:space="0" w:color="000000"/>
              <w:left w:val="single" w:sz="4" w:space="0" w:color="000000"/>
              <w:bottom w:val="single" w:sz="4" w:space="0" w:color="000000"/>
              <w:right w:val="single" w:sz="4" w:space="0" w:color="auto"/>
            </w:tcBorders>
          </w:tcPr>
          <w:p w:rsidR="003A56D3" w:rsidRPr="00DA058A" w:rsidRDefault="003A56D3" w:rsidP="007E7777">
            <w:pPr>
              <w:spacing w:before="40" w:after="40"/>
              <w:rPr>
                <w:sz w:val="18"/>
                <w:szCs w:val="18"/>
              </w:rPr>
            </w:pPr>
            <w:r>
              <w:rPr>
                <w:sz w:val="18"/>
                <w:szCs w:val="18"/>
              </w:rPr>
              <w:sym w:font="Wingdings" w:char="F0FC"/>
            </w:r>
          </w:p>
        </w:tc>
      </w:tr>
    </w:tbl>
    <w:p w:rsidR="003A56D3" w:rsidRPr="00465E0A" w:rsidRDefault="003A56D3" w:rsidP="003A56D3"/>
    <w:p w:rsidR="0017696E" w:rsidRDefault="0017696E"/>
    <w:sectPr w:rsidR="0017696E" w:rsidSect="00EC4FD7">
      <w:pgSz w:w="11909" w:h="16834" w:code="9"/>
      <w:pgMar w:top="1440" w:right="72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3D" w:rsidRPr="003C34B7" w:rsidRDefault="003A56D3"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fldSimple w:instr=" NUMPAGES  \* Arabic  \* MERGEFORMAT ">
      <w:r w:rsidRPr="00486BB5">
        <w:rPr>
          <w:noProof/>
          <w:sz w:val="20"/>
          <w:szCs w:val="20"/>
        </w:rPr>
        <w:t>42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CA794E"/>
    <w:multiLevelType w:val="singleLevel"/>
    <w:tmpl w:val="08090001"/>
    <w:lvl w:ilvl="0">
      <w:start w:val="1"/>
      <w:numFmt w:val="bullet"/>
      <w:lvlText w:val=""/>
      <w:lvlJc w:val="left"/>
      <w:pPr>
        <w:ind w:left="720" w:hanging="360"/>
      </w:pPr>
      <w:rPr>
        <w:rFonts w:ascii="Symbol" w:hAnsi="Symbol" w:hint="default"/>
      </w:rPr>
    </w:lvl>
  </w:abstractNum>
  <w:abstractNum w:abstractNumId="2">
    <w:nsid w:val="1444309B"/>
    <w:multiLevelType w:val="hybridMultilevel"/>
    <w:tmpl w:val="EE303D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80229D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18440E3C"/>
    <w:multiLevelType w:val="hybridMultilevel"/>
    <w:tmpl w:val="AE66EB00"/>
    <w:lvl w:ilvl="0" w:tplc="754690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FA5C51"/>
    <w:multiLevelType w:val="hybridMultilevel"/>
    <w:tmpl w:val="A828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94226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1DDE1578"/>
    <w:multiLevelType w:val="singleLevel"/>
    <w:tmpl w:val="08090001"/>
    <w:lvl w:ilvl="0">
      <w:start w:val="1"/>
      <w:numFmt w:val="bullet"/>
      <w:lvlText w:val=""/>
      <w:lvlJc w:val="left"/>
      <w:pPr>
        <w:ind w:left="720" w:hanging="360"/>
      </w:pPr>
      <w:rPr>
        <w:rFonts w:ascii="Symbol" w:hAnsi="Symbol" w:hint="default"/>
      </w:rPr>
    </w:lvl>
  </w:abstractNum>
  <w:abstractNum w:abstractNumId="8">
    <w:nsid w:val="1F083E30"/>
    <w:multiLevelType w:val="hybridMultilevel"/>
    <w:tmpl w:val="DA102016"/>
    <w:lvl w:ilvl="0" w:tplc="C1788D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F554E5"/>
    <w:multiLevelType w:val="hybridMultilevel"/>
    <w:tmpl w:val="CACA66CA"/>
    <w:lvl w:ilvl="0" w:tplc="70723168">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EE41DB"/>
    <w:multiLevelType w:val="singleLevel"/>
    <w:tmpl w:val="08090001"/>
    <w:lvl w:ilvl="0">
      <w:start w:val="1"/>
      <w:numFmt w:val="bullet"/>
      <w:lvlText w:val=""/>
      <w:lvlJc w:val="left"/>
      <w:pPr>
        <w:ind w:left="720" w:hanging="360"/>
      </w:pPr>
      <w:rPr>
        <w:rFonts w:ascii="Symbol" w:hAnsi="Symbol" w:hint="default"/>
      </w:rPr>
    </w:lvl>
  </w:abstractNum>
  <w:abstractNum w:abstractNumId="11">
    <w:nsid w:val="3A951B5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nsid w:val="4663096B"/>
    <w:multiLevelType w:val="hybridMultilevel"/>
    <w:tmpl w:val="0E9CB1E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4D0D95"/>
    <w:multiLevelType w:val="singleLevel"/>
    <w:tmpl w:val="08090001"/>
    <w:lvl w:ilvl="0">
      <w:start w:val="1"/>
      <w:numFmt w:val="bullet"/>
      <w:lvlText w:val=""/>
      <w:lvlJc w:val="left"/>
      <w:pPr>
        <w:ind w:left="720" w:hanging="360"/>
      </w:pPr>
      <w:rPr>
        <w:rFonts w:ascii="Symbol" w:hAnsi="Symbol" w:hint="default"/>
      </w:rPr>
    </w:lvl>
  </w:abstractNum>
  <w:abstractNum w:abstractNumId="14">
    <w:nsid w:val="61C45801"/>
    <w:multiLevelType w:val="hybridMultilevel"/>
    <w:tmpl w:val="C886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num>
  <w:num w:numId="6">
    <w:abstractNumId w:val="1"/>
  </w:num>
  <w:num w:numId="7">
    <w:abstractNumId w:val="7"/>
  </w:num>
  <w:num w:numId="8">
    <w:abstractNumId w:val="12"/>
  </w:num>
  <w:num w:numId="9">
    <w:abstractNumId w:val="3"/>
  </w:num>
  <w:num w:numId="10">
    <w:abstractNumId w:val="6"/>
  </w:num>
  <w:num w:numId="11">
    <w:abstractNumId w:val="11"/>
  </w:num>
  <w:num w:numId="12">
    <w:abstractNumId w:val="10"/>
  </w:num>
  <w:num w:numId="13">
    <w:abstractNumId w:val="1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Pr>
  <w:compat>
    <w:useFELayout/>
  </w:compat>
  <w:rsids>
    <w:rsidRoot w:val="003A56D3"/>
    <w:rsid w:val="00052BAA"/>
    <w:rsid w:val="00167692"/>
    <w:rsid w:val="0017696E"/>
    <w:rsid w:val="003A56D3"/>
    <w:rsid w:val="004C427A"/>
    <w:rsid w:val="00EC4F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D3"/>
    <w:pPr>
      <w:suppressAutoHyphens/>
    </w:pPr>
    <w:rPr>
      <w:rFonts w:ascii="Arial" w:eastAsia="Times" w:hAnsi="Arial" w:cs="Arial"/>
      <w:sz w:val="22"/>
      <w:szCs w:val="22"/>
      <w:lang w:eastAsia="ar-SA"/>
    </w:rPr>
  </w:style>
  <w:style w:type="paragraph" w:styleId="Heading1">
    <w:name w:val="heading 1"/>
    <w:aliases w:val="Char,Chapter heading"/>
    <w:basedOn w:val="Normal"/>
    <w:next w:val="Normal"/>
    <w:link w:val="Heading1Char"/>
    <w:qFormat/>
    <w:rsid w:val="003A56D3"/>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3A56D3"/>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6D3"/>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3A56D3"/>
    <w:rPr>
      <w:rFonts w:ascii="Arial" w:eastAsia="Times" w:hAnsi="Arial" w:cs="Arial"/>
      <w:b/>
      <w:bCs/>
      <w:sz w:val="22"/>
      <w:szCs w:val="22"/>
      <w:lang w:eastAsia="ar-SA"/>
    </w:rPr>
  </w:style>
  <w:style w:type="paragraph" w:styleId="Header">
    <w:name w:val="header"/>
    <w:aliases w:val=" Char"/>
    <w:basedOn w:val="Normal"/>
    <w:link w:val="HeaderChar"/>
    <w:unhideWhenUsed/>
    <w:rsid w:val="003A56D3"/>
    <w:pPr>
      <w:tabs>
        <w:tab w:val="center" w:pos="4513"/>
        <w:tab w:val="right" w:pos="9026"/>
      </w:tabs>
    </w:pPr>
  </w:style>
  <w:style w:type="character" w:customStyle="1" w:styleId="HeaderChar">
    <w:name w:val="Header Char"/>
    <w:aliases w:val=" Char Char"/>
    <w:basedOn w:val="DefaultParagraphFont"/>
    <w:link w:val="Header"/>
    <w:rsid w:val="003A56D3"/>
    <w:rPr>
      <w:rFonts w:ascii="Arial" w:eastAsia="Times" w:hAnsi="Arial" w:cs="Arial"/>
      <w:sz w:val="22"/>
      <w:szCs w:val="22"/>
      <w:lang w:eastAsia="ar-SA"/>
    </w:rPr>
  </w:style>
  <w:style w:type="character" w:styleId="Hyperlink">
    <w:name w:val="Hyperlink"/>
    <w:basedOn w:val="DefaultParagraphFont"/>
    <w:uiPriority w:val="99"/>
    <w:rsid w:val="003A56D3"/>
    <w:rPr>
      <w:color w:val="0000FF"/>
      <w:u w:val="single"/>
    </w:rPr>
  </w:style>
  <w:style w:type="paragraph" w:styleId="BodyText">
    <w:name w:val="Body Text"/>
    <w:basedOn w:val="Normal"/>
    <w:link w:val="BodyTextChar"/>
    <w:rsid w:val="003A56D3"/>
    <w:rPr>
      <w:rFonts w:eastAsia="Times New Roman"/>
    </w:rPr>
  </w:style>
  <w:style w:type="character" w:customStyle="1" w:styleId="BodyTextChar">
    <w:name w:val="Body Text Char"/>
    <w:basedOn w:val="DefaultParagraphFont"/>
    <w:link w:val="BodyText"/>
    <w:rsid w:val="003A56D3"/>
    <w:rPr>
      <w:rFonts w:ascii="Arial" w:eastAsia="Times New Roman" w:hAnsi="Arial" w:cs="Arial"/>
      <w:sz w:val="22"/>
      <w:szCs w:val="22"/>
      <w:lang w:eastAsia="ar-SA"/>
    </w:rPr>
  </w:style>
  <w:style w:type="paragraph" w:styleId="Footer">
    <w:name w:val="footer"/>
    <w:basedOn w:val="Normal"/>
    <w:link w:val="FooterChar"/>
    <w:uiPriority w:val="99"/>
    <w:rsid w:val="003A56D3"/>
    <w:pPr>
      <w:tabs>
        <w:tab w:val="center" w:pos="4153"/>
        <w:tab w:val="right" w:pos="8306"/>
      </w:tabs>
    </w:pPr>
  </w:style>
  <w:style w:type="character" w:customStyle="1" w:styleId="FooterChar">
    <w:name w:val="Footer Char"/>
    <w:basedOn w:val="DefaultParagraphFont"/>
    <w:link w:val="Footer"/>
    <w:uiPriority w:val="99"/>
    <w:rsid w:val="003A56D3"/>
    <w:rPr>
      <w:rFonts w:ascii="Arial" w:eastAsia="Times" w:hAnsi="Arial" w:cs="Arial"/>
      <w:sz w:val="22"/>
      <w:szCs w:val="22"/>
      <w:lang w:eastAsia="ar-SA"/>
    </w:rPr>
  </w:style>
  <w:style w:type="paragraph" w:styleId="ListParagraph">
    <w:name w:val="List Paragraph"/>
    <w:basedOn w:val="Normal"/>
    <w:link w:val="ListParagraphChar"/>
    <w:uiPriority w:val="99"/>
    <w:qFormat/>
    <w:rsid w:val="003A56D3"/>
    <w:pPr>
      <w:ind w:left="720"/>
    </w:pPr>
  </w:style>
  <w:style w:type="paragraph" w:customStyle="1" w:styleId="Heading1PH">
    <w:name w:val="Heading 1 PH"/>
    <w:basedOn w:val="Heading1"/>
    <w:link w:val="Heading1PHChar"/>
    <w:qFormat/>
    <w:rsid w:val="003A56D3"/>
    <w:pPr>
      <w:pBdr>
        <w:bottom w:val="none" w:sz="0" w:space="0" w:color="auto"/>
      </w:pBdr>
      <w:spacing w:after="0"/>
    </w:pPr>
    <w:rPr>
      <w:sz w:val="40"/>
      <w:szCs w:val="40"/>
    </w:rPr>
  </w:style>
  <w:style w:type="character" w:customStyle="1" w:styleId="Heading1PHChar">
    <w:name w:val="Heading 1 PH Char"/>
    <w:basedOn w:val="DefaultParagraphFont"/>
    <w:link w:val="Heading1PH"/>
    <w:rsid w:val="003A56D3"/>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3A56D3"/>
    <w:rPr>
      <w:b/>
      <w:i/>
      <w:color w:val="800080"/>
    </w:rPr>
  </w:style>
  <w:style w:type="character" w:customStyle="1" w:styleId="ListParagraphChar">
    <w:name w:val="List Paragraph Char"/>
    <w:basedOn w:val="DefaultParagraphFont"/>
    <w:link w:val="ListParagraph"/>
    <w:uiPriority w:val="99"/>
    <w:rsid w:val="003A56D3"/>
    <w:rPr>
      <w:rFonts w:ascii="Arial" w:eastAsia="Times" w:hAnsi="Arial" w:cs="Arial"/>
      <w:sz w:val="22"/>
      <w:szCs w:val="22"/>
      <w:lang w:eastAsia="ar-SA"/>
    </w:rPr>
  </w:style>
  <w:style w:type="character" w:customStyle="1" w:styleId="VioletexplanatorytextChar">
    <w:name w:val="Violet explanatory text Char"/>
    <w:basedOn w:val="DefaultParagraphFont"/>
    <w:link w:val="Violetexplanatorytext"/>
    <w:rsid w:val="003A56D3"/>
    <w:rPr>
      <w:rFonts w:ascii="Arial" w:eastAsia="Times" w:hAnsi="Arial" w:cs="Arial"/>
      <w:b/>
      <w:i/>
      <w:color w:val="800080"/>
      <w:sz w:val="22"/>
      <w:szCs w:val="22"/>
      <w:lang w:eastAsia="ar-SA"/>
    </w:rPr>
  </w:style>
  <w:style w:type="paragraph" w:styleId="BodyText3">
    <w:name w:val="Body Text 3"/>
    <w:basedOn w:val="Normal"/>
    <w:link w:val="BodyText3Char"/>
    <w:rsid w:val="003A56D3"/>
    <w:pPr>
      <w:spacing w:after="120"/>
    </w:pPr>
    <w:rPr>
      <w:sz w:val="16"/>
      <w:szCs w:val="16"/>
    </w:rPr>
  </w:style>
  <w:style w:type="character" w:customStyle="1" w:styleId="BodyText3Char">
    <w:name w:val="Body Text 3 Char"/>
    <w:basedOn w:val="DefaultParagraphFont"/>
    <w:link w:val="BodyText3"/>
    <w:rsid w:val="003A56D3"/>
    <w:rPr>
      <w:rFonts w:ascii="Arial" w:eastAsia="Times"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mdx.ac.uk" TargetMode="External"/><Relationship Id="rId3" Type="http://schemas.openxmlformats.org/officeDocument/2006/relationships/settings" Target="settings.xml"/><Relationship Id="rId7" Type="http://schemas.openxmlformats.org/officeDocument/2006/relationships/hyperlink" Target="http://www.mdx.ac.uk/campus/support/career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x.ac.uk/regulations/gradecriteriaguide.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2393</Words>
  <Characters>14428</Characters>
  <Application>Microsoft Office Word</Application>
  <DocSecurity>0</DocSecurity>
  <Lines>120</Lines>
  <Paragraphs>33</Paragraphs>
  <ScaleCrop>false</ScaleCrop>
  <Company>Middlesex University</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1</cp:revision>
  <dcterms:created xsi:type="dcterms:W3CDTF">2013-10-02T10:37:00Z</dcterms:created>
  <dcterms:modified xsi:type="dcterms:W3CDTF">2013-10-02T10:39:00Z</dcterms:modified>
</cp:coreProperties>
</file>