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96" w:rsidRPr="00CD5762" w:rsidRDefault="00DC6096" w:rsidP="00DC6096">
      <w:pPr>
        <w:rPr>
          <w:b/>
          <w:bCs/>
          <w:noProof/>
          <w:sz w:val="36"/>
          <w:szCs w:val="36"/>
        </w:rPr>
      </w:pPr>
      <w:r w:rsidRPr="00CD5762">
        <w:rPr>
          <w:b/>
          <w:bCs/>
          <w:noProof/>
          <w:sz w:val="36"/>
          <w:szCs w:val="36"/>
        </w:rPr>
        <w:t xml:space="preserve">Programme Specification </w:t>
      </w:r>
    </w:p>
    <w:p w:rsidR="00DC6096" w:rsidRDefault="00DC6096" w:rsidP="00DC6096">
      <w:pPr>
        <w:rPr>
          <w:noProof/>
        </w:rPr>
      </w:pPr>
    </w:p>
    <w:p w:rsidR="00DC6096" w:rsidRDefault="00DC6096" w:rsidP="00DC6096">
      <w:pPr>
        <w:rPr>
          <w:noProof/>
        </w:rPr>
      </w:pPr>
    </w:p>
    <w:tbl>
      <w:tblPr>
        <w:tblW w:w="6899" w:type="dxa"/>
        <w:tblInd w:w="8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94"/>
        <w:gridCol w:w="4105"/>
      </w:tblGrid>
      <w:tr w:rsidR="00DC6096" w:rsidTr="001428D4">
        <w:tc>
          <w:tcPr>
            <w:tcW w:w="2794" w:type="dxa"/>
            <w:tcBorders>
              <w:bottom w:val="single" w:sz="18" w:space="0" w:color="FFFFFF"/>
              <w:right w:val="single" w:sz="18" w:space="0" w:color="FFFFFF"/>
            </w:tcBorders>
            <w:shd w:val="pct12" w:color="auto" w:fill="FFFFFF"/>
            <w:vAlign w:val="center"/>
          </w:tcPr>
          <w:p w:rsidR="00DC6096" w:rsidRPr="00A53618" w:rsidRDefault="00DC6096" w:rsidP="001428D4">
            <w:pPr>
              <w:pStyle w:val="Heading2"/>
            </w:pPr>
            <w:bookmarkStart w:id="0" w:name="_Toc393807095"/>
            <w:r w:rsidRPr="00A53618">
              <w:t>1. Programme title</w:t>
            </w:r>
            <w:bookmarkEnd w:id="0"/>
          </w:p>
        </w:tc>
        <w:tc>
          <w:tcPr>
            <w:tcW w:w="4105" w:type="dxa"/>
            <w:vAlign w:val="center"/>
          </w:tcPr>
          <w:p w:rsidR="00DC6096" w:rsidRPr="00D924A2" w:rsidRDefault="00DC6096" w:rsidP="001428D4">
            <w:r>
              <w:t>MSc</w:t>
            </w:r>
            <w:r w:rsidRPr="00D924A2">
              <w:t xml:space="preserve"> (Hons)</w:t>
            </w:r>
            <w:r>
              <w:t>Banking &amp; Finance</w:t>
            </w:r>
          </w:p>
        </w:tc>
      </w:tr>
      <w:tr w:rsidR="00DC6096" w:rsidTr="001428D4">
        <w:tc>
          <w:tcPr>
            <w:tcW w:w="2794" w:type="dxa"/>
            <w:tcBorders>
              <w:top w:val="single" w:sz="18" w:space="0" w:color="FFFFFF"/>
              <w:bottom w:val="single" w:sz="18" w:space="0" w:color="FFFFFF"/>
              <w:right w:val="single" w:sz="18" w:space="0" w:color="FFFFFF"/>
            </w:tcBorders>
            <w:shd w:val="pct12" w:color="auto" w:fill="FFFFFF"/>
            <w:vAlign w:val="center"/>
          </w:tcPr>
          <w:p w:rsidR="00DC6096" w:rsidRPr="00A53618" w:rsidRDefault="00DC6096" w:rsidP="001428D4">
            <w:pPr>
              <w:pStyle w:val="Heading2"/>
            </w:pPr>
            <w:bookmarkStart w:id="1" w:name="_Toc393807096"/>
            <w:r w:rsidRPr="00A53618">
              <w:t>2. Awarding institution</w:t>
            </w:r>
            <w:bookmarkEnd w:id="1"/>
          </w:p>
        </w:tc>
        <w:tc>
          <w:tcPr>
            <w:tcW w:w="4105" w:type="dxa"/>
            <w:vAlign w:val="center"/>
          </w:tcPr>
          <w:p w:rsidR="00DC6096" w:rsidRPr="00D924A2" w:rsidRDefault="00DC6096" w:rsidP="001428D4">
            <w:r w:rsidRPr="00D924A2">
              <w:t>Middlesex University</w:t>
            </w:r>
          </w:p>
        </w:tc>
      </w:tr>
      <w:tr w:rsidR="00DC6096" w:rsidTr="001428D4">
        <w:tc>
          <w:tcPr>
            <w:tcW w:w="2794" w:type="dxa"/>
            <w:tcBorders>
              <w:top w:val="single" w:sz="18" w:space="0" w:color="FFFFFF"/>
              <w:bottom w:val="single" w:sz="18" w:space="0" w:color="FFFFFF"/>
              <w:right w:val="single" w:sz="18" w:space="0" w:color="FFFFFF"/>
            </w:tcBorders>
            <w:shd w:val="pct12" w:color="auto" w:fill="FFFFFF"/>
            <w:vAlign w:val="center"/>
          </w:tcPr>
          <w:p w:rsidR="00DC6096" w:rsidRPr="00A53618" w:rsidRDefault="00DC6096" w:rsidP="001428D4">
            <w:pPr>
              <w:pStyle w:val="Heading2"/>
            </w:pPr>
            <w:bookmarkStart w:id="2" w:name="_Toc393807097"/>
            <w:r w:rsidRPr="00A53618">
              <w:t>3. Teaching institution</w:t>
            </w:r>
            <w:bookmarkEnd w:id="2"/>
          </w:p>
        </w:tc>
        <w:tc>
          <w:tcPr>
            <w:tcW w:w="4105" w:type="dxa"/>
            <w:vAlign w:val="center"/>
          </w:tcPr>
          <w:p w:rsidR="00DC6096" w:rsidRPr="00D924A2" w:rsidRDefault="00DC6096" w:rsidP="001428D4">
            <w:r w:rsidRPr="00D924A2">
              <w:t>Middlesex University</w:t>
            </w:r>
          </w:p>
        </w:tc>
      </w:tr>
      <w:tr w:rsidR="00DC6096" w:rsidTr="001428D4">
        <w:tc>
          <w:tcPr>
            <w:tcW w:w="2794" w:type="dxa"/>
            <w:tcBorders>
              <w:top w:val="single" w:sz="18" w:space="0" w:color="FFFFFF"/>
              <w:bottom w:val="single" w:sz="18" w:space="0" w:color="FFFFFF"/>
              <w:right w:val="single" w:sz="18" w:space="0" w:color="FFFFFF"/>
            </w:tcBorders>
            <w:shd w:val="pct12" w:color="auto" w:fill="FFFFFF"/>
            <w:vAlign w:val="center"/>
          </w:tcPr>
          <w:p w:rsidR="00DC6096" w:rsidRPr="00A53618" w:rsidRDefault="00DC6096" w:rsidP="001428D4">
            <w:pPr>
              <w:pStyle w:val="Heading2"/>
            </w:pPr>
            <w:bookmarkStart w:id="3" w:name="_Toc393807098"/>
            <w:r w:rsidRPr="00A53618">
              <w:t>4. Programme accredited by</w:t>
            </w:r>
            <w:bookmarkEnd w:id="3"/>
          </w:p>
        </w:tc>
        <w:tc>
          <w:tcPr>
            <w:tcW w:w="4105" w:type="dxa"/>
            <w:vAlign w:val="center"/>
          </w:tcPr>
          <w:p w:rsidR="00DC6096" w:rsidRPr="00D924A2" w:rsidRDefault="00DC6096" w:rsidP="001428D4"/>
        </w:tc>
      </w:tr>
      <w:tr w:rsidR="00DC6096" w:rsidTr="001428D4">
        <w:tc>
          <w:tcPr>
            <w:tcW w:w="2794" w:type="dxa"/>
            <w:tcBorders>
              <w:top w:val="single" w:sz="18" w:space="0" w:color="FFFFFF"/>
              <w:bottom w:val="single" w:sz="18" w:space="0" w:color="FFFFFF"/>
              <w:right w:val="single" w:sz="18" w:space="0" w:color="FFFFFF"/>
            </w:tcBorders>
            <w:shd w:val="pct12" w:color="auto" w:fill="FFFFFF"/>
            <w:vAlign w:val="center"/>
          </w:tcPr>
          <w:p w:rsidR="00DC6096" w:rsidRPr="00A53618" w:rsidRDefault="00DC6096" w:rsidP="001428D4">
            <w:pPr>
              <w:pStyle w:val="Heading2"/>
            </w:pPr>
            <w:bookmarkStart w:id="4" w:name="_Toc393807099"/>
            <w:r w:rsidRPr="00A53618">
              <w:t>5. Final qualification</w:t>
            </w:r>
            <w:bookmarkEnd w:id="4"/>
          </w:p>
        </w:tc>
        <w:tc>
          <w:tcPr>
            <w:tcW w:w="4105" w:type="dxa"/>
            <w:vAlign w:val="center"/>
          </w:tcPr>
          <w:p w:rsidR="00DC6096" w:rsidRDefault="00DC6096" w:rsidP="001428D4">
            <w:r>
              <w:t>Master</w:t>
            </w:r>
            <w:r w:rsidRPr="00D924A2">
              <w:t xml:space="preserve"> of </w:t>
            </w:r>
            <w:r>
              <w:t>Science</w:t>
            </w:r>
            <w:r w:rsidRPr="00D924A2">
              <w:t xml:space="preserve"> (Honours)</w:t>
            </w:r>
          </w:p>
          <w:p w:rsidR="00DC6096" w:rsidRDefault="00DC6096" w:rsidP="001428D4">
            <w:r>
              <w:t>Postgraduate Diploma</w:t>
            </w:r>
          </w:p>
          <w:p w:rsidR="00DC6096" w:rsidRPr="00D924A2" w:rsidRDefault="00DC6096" w:rsidP="001428D4">
            <w:r>
              <w:t>Postgraduate Certificate</w:t>
            </w:r>
          </w:p>
        </w:tc>
      </w:tr>
      <w:tr w:rsidR="00DC6096" w:rsidTr="001428D4">
        <w:tc>
          <w:tcPr>
            <w:tcW w:w="2794" w:type="dxa"/>
            <w:tcBorders>
              <w:top w:val="single" w:sz="18" w:space="0" w:color="FFFFFF"/>
              <w:right w:val="single" w:sz="18" w:space="0" w:color="FFFFFF"/>
            </w:tcBorders>
            <w:shd w:val="pct12" w:color="auto" w:fill="FFFFFF"/>
            <w:vAlign w:val="center"/>
          </w:tcPr>
          <w:p w:rsidR="00DC6096" w:rsidRPr="00A53618" w:rsidRDefault="00DC6096" w:rsidP="001428D4">
            <w:pPr>
              <w:pStyle w:val="Heading2"/>
            </w:pPr>
            <w:bookmarkStart w:id="5" w:name="_Toc393807100"/>
            <w:r w:rsidRPr="00A53618">
              <w:t>6. Academic year</w:t>
            </w:r>
            <w:bookmarkEnd w:id="5"/>
          </w:p>
        </w:tc>
        <w:tc>
          <w:tcPr>
            <w:tcW w:w="4105" w:type="dxa"/>
            <w:vAlign w:val="center"/>
          </w:tcPr>
          <w:p w:rsidR="00DC6096" w:rsidRPr="00D924A2" w:rsidRDefault="00DC6096" w:rsidP="001428D4">
            <w:r w:rsidRPr="00D924A2">
              <w:t>201</w:t>
            </w:r>
            <w:r>
              <w:t>4</w:t>
            </w:r>
            <w:r w:rsidRPr="00D924A2">
              <w:t>-1</w:t>
            </w:r>
            <w:r>
              <w:t>5</w:t>
            </w:r>
          </w:p>
        </w:tc>
      </w:tr>
      <w:tr w:rsidR="00DC6096" w:rsidTr="001428D4">
        <w:tc>
          <w:tcPr>
            <w:tcW w:w="2794" w:type="dxa"/>
            <w:tcBorders>
              <w:top w:val="single" w:sz="18" w:space="0" w:color="FFFFFF"/>
              <w:right w:val="single" w:sz="18" w:space="0" w:color="FFFFFF"/>
            </w:tcBorders>
            <w:shd w:val="pct12" w:color="auto" w:fill="FFFFFF"/>
            <w:vAlign w:val="center"/>
          </w:tcPr>
          <w:p w:rsidR="00DC6096" w:rsidRPr="00A53618" w:rsidRDefault="00DC6096" w:rsidP="001428D4">
            <w:pPr>
              <w:pStyle w:val="Heading2"/>
            </w:pPr>
            <w:bookmarkStart w:id="6" w:name="_Toc393807101"/>
            <w:r w:rsidRPr="00A53618">
              <w:t>7. Language of study</w:t>
            </w:r>
            <w:bookmarkEnd w:id="6"/>
          </w:p>
        </w:tc>
        <w:tc>
          <w:tcPr>
            <w:tcW w:w="4105" w:type="dxa"/>
            <w:vAlign w:val="center"/>
          </w:tcPr>
          <w:p w:rsidR="00DC6096" w:rsidRPr="00D924A2" w:rsidRDefault="00DC6096" w:rsidP="001428D4">
            <w:r w:rsidRPr="00D924A2">
              <w:t>English</w:t>
            </w:r>
          </w:p>
        </w:tc>
      </w:tr>
      <w:tr w:rsidR="00DC6096" w:rsidTr="001428D4">
        <w:tc>
          <w:tcPr>
            <w:tcW w:w="2794" w:type="dxa"/>
            <w:tcBorders>
              <w:top w:val="single" w:sz="18" w:space="0" w:color="FFFFFF"/>
              <w:right w:val="single" w:sz="18" w:space="0" w:color="FFFFFF"/>
            </w:tcBorders>
            <w:shd w:val="pct12" w:color="auto" w:fill="FFFFFF"/>
            <w:vAlign w:val="center"/>
          </w:tcPr>
          <w:p w:rsidR="00DC6096" w:rsidRPr="00A53618" w:rsidRDefault="00DC6096" w:rsidP="001428D4">
            <w:pPr>
              <w:pStyle w:val="Heading2"/>
            </w:pPr>
            <w:bookmarkStart w:id="7" w:name="_Toc393807102"/>
            <w:r w:rsidRPr="00A53618">
              <w:t>8. Mode of study</w:t>
            </w:r>
            <w:bookmarkEnd w:id="7"/>
          </w:p>
        </w:tc>
        <w:tc>
          <w:tcPr>
            <w:tcW w:w="4105" w:type="dxa"/>
            <w:vAlign w:val="center"/>
          </w:tcPr>
          <w:p w:rsidR="00DC6096" w:rsidRPr="00D924A2" w:rsidRDefault="00DC6096" w:rsidP="001428D4">
            <w:r w:rsidRPr="00D924A2">
              <w:t>Full Time / Part Time / Distance Learning</w:t>
            </w:r>
          </w:p>
        </w:tc>
      </w:tr>
    </w:tbl>
    <w:p w:rsidR="00DC6096" w:rsidRDefault="00DC6096" w:rsidP="00DC6096"/>
    <w:tbl>
      <w:tblPr>
        <w:tblW w:w="694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7"/>
      </w:tblGrid>
      <w:tr w:rsidR="00DC6096" w:rsidRPr="00D924A2" w:rsidTr="001428D4">
        <w:tc>
          <w:tcPr>
            <w:tcW w:w="6947" w:type="dxa"/>
          </w:tcPr>
          <w:p w:rsidR="00DC6096" w:rsidRPr="00D924A2" w:rsidRDefault="00DC6096" w:rsidP="001428D4">
            <w:pPr>
              <w:pStyle w:val="Heading2"/>
              <w:rPr>
                <w:rFonts w:ascii="Times" w:hAnsi="Times" w:cs="Times"/>
              </w:rPr>
            </w:pPr>
            <w:bookmarkStart w:id="8" w:name="_Toc393807103"/>
            <w:r w:rsidRPr="00D924A2">
              <w:t>9. Criteria for admission to the programme</w:t>
            </w:r>
            <w:bookmarkEnd w:id="8"/>
          </w:p>
          <w:p w:rsidR="00DC6096" w:rsidRPr="00795E8E" w:rsidRDefault="00DC6096" w:rsidP="001428D4">
            <w:pPr>
              <w:widowControl w:val="0"/>
            </w:pPr>
            <w:r>
              <w:t xml:space="preserve">Applicants must have </w:t>
            </w:r>
            <w:r w:rsidRPr="00795E8E">
              <w:t>a good honours degree from a UK University</w:t>
            </w:r>
            <w:r>
              <w:t xml:space="preserve">, or </w:t>
            </w:r>
            <w:r w:rsidRPr="00795E8E">
              <w:t>the equivalent from a recognised overseas University</w:t>
            </w:r>
            <w:r>
              <w:t>, or an equivalent recognised qualification.</w:t>
            </w:r>
          </w:p>
          <w:p w:rsidR="00DC6096" w:rsidRPr="00E41CD0" w:rsidRDefault="00DC6096" w:rsidP="001428D4">
            <w:r w:rsidRPr="00795E8E">
              <w:t xml:space="preserve">Students whose first language is not English will need to demonstrate English language proficiency in addition to the other entry requirements.  A minimum score of 6.5 IELTS </w:t>
            </w:r>
            <w:r>
              <w:t xml:space="preserve">(with a minimum of 6.0 in each component) </w:t>
            </w:r>
            <w:r w:rsidRPr="00795E8E">
              <w:t xml:space="preserve">or a TOEFL score of 575 for the written test or 230 for the computer test </w:t>
            </w:r>
            <w:r w:rsidRPr="00E41CD0">
              <w:t xml:space="preserve">or an equivalent </w:t>
            </w:r>
            <w:r>
              <w:t xml:space="preserve">qualification </w:t>
            </w:r>
            <w:r w:rsidRPr="00E41CD0">
              <w:t>recognised by Middlesex University</w:t>
            </w:r>
            <w:r w:rsidRPr="00795E8E">
              <w:t xml:space="preserve"> must be obtained. </w:t>
            </w:r>
          </w:p>
          <w:p w:rsidR="00DC6096" w:rsidRPr="00D924A2" w:rsidRDefault="00DC6096" w:rsidP="001428D4">
            <w:r w:rsidRPr="00E41CD0">
              <w:t>The equivalence of qualifications from outside UK will be determined according to NARIC guidelines.</w:t>
            </w:r>
          </w:p>
        </w:tc>
      </w:tr>
    </w:tbl>
    <w:p w:rsidR="00DC6096" w:rsidRPr="00D924A2" w:rsidRDefault="00DC6096" w:rsidP="00DC6096"/>
    <w:tbl>
      <w:tblPr>
        <w:tblW w:w="484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543"/>
        <w:gridCol w:w="3120"/>
      </w:tblGrid>
      <w:tr w:rsidR="00DC6096" w:rsidRPr="00D924A2" w:rsidTr="001428D4">
        <w:tc>
          <w:tcPr>
            <w:tcW w:w="5000" w:type="pct"/>
            <w:gridSpan w:val="2"/>
            <w:tcBorders>
              <w:bottom w:val="nil"/>
            </w:tcBorders>
            <w:shd w:val="pct12" w:color="auto" w:fill="FFFFFF"/>
          </w:tcPr>
          <w:p w:rsidR="00DC6096" w:rsidRPr="00D924A2" w:rsidRDefault="00DC6096" w:rsidP="001428D4">
            <w:pPr>
              <w:pStyle w:val="Heading2"/>
              <w:ind w:hanging="426"/>
            </w:pPr>
            <w:bookmarkStart w:id="9" w:name="_Toc393807104"/>
            <w:r w:rsidRPr="00D924A2">
              <w:lastRenderedPageBreak/>
              <w:t>10. Aims of the programme</w:t>
            </w:r>
            <w:bookmarkEnd w:id="9"/>
          </w:p>
        </w:tc>
      </w:tr>
      <w:tr w:rsidR="00DC6096" w:rsidRPr="00D924A2" w:rsidTr="001428D4">
        <w:tc>
          <w:tcPr>
            <w:tcW w:w="5000" w:type="pct"/>
            <w:gridSpan w:val="2"/>
            <w:tcBorders>
              <w:top w:val="nil"/>
            </w:tcBorders>
          </w:tcPr>
          <w:p w:rsidR="00DC6096" w:rsidRPr="00795E8E" w:rsidRDefault="00DC6096" w:rsidP="001428D4">
            <w:pPr>
              <w:ind w:hanging="426"/>
            </w:pPr>
            <w:r>
              <w:tab/>
            </w:r>
            <w:r w:rsidRPr="00795E8E">
              <w:t>The programme aims to:</w:t>
            </w:r>
          </w:p>
          <w:p w:rsidR="00DC6096" w:rsidRDefault="00DC6096" w:rsidP="00DC6096">
            <w:pPr>
              <w:numPr>
                <w:ilvl w:val="0"/>
                <w:numId w:val="2"/>
              </w:numPr>
              <w:tabs>
                <w:tab w:val="clear" w:pos="1080"/>
                <w:tab w:val="num" w:pos="426"/>
              </w:tabs>
              <w:suppressAutoHyphens w:val="0"/>
              <w:ind w:left="426" w:hanging="426"/>
            </w:pPr>
            <w:r>
              <w:t>develop students’ existing skills by advanced study in the  areas of banking and finance</w:t>
            </w:r>
          </w:p>
          <w:p w:rsidR="00DC6096" w:rsidRDefault="00DC6096" w:rsidP="00DC6096">
            <w:pPr>
              <w:numPr>
                <w:ilvl w:val="0"/>
                <w:numId w:val="2"/>
              </w:numPr>
              <w:tabs>
                <w:tab w:val="clear" w:pos="1080"/>
                <w:tab w:val="num" w:pos="426"/>
              </w:tabs>
              <w:suppressAutoHyphens w:val="0"/>
              <w:ind w:left="426" w:hanging="426"/>
            </w:pPr>
            <w:r>
              <w:t>provide an advanced theoretical framework to understand, interpret and analyse contemporary issues in domestic and international banking and in finance and economics, or in Islamic banking and finance,;</w:t>
            </w:r>
          </w:p>
          <w:p w:rsidR="00DC6096" w:rsidRPr="00795E8E" w:rsidRDefault="00DC6096" w:rsidP="00DC6096">
            <w:pPr>
              <w:numPr>
                <w:ilvl w:val="0"/>
                <w:numId w:val="2"/>
              </w:numPr>
              <w:tabs>
                <w:tab w:val="clear" w:pos="1080"/>
                <w:tab w:val="num" w:pos="426"/>
              </w:tabs>
              <w:suppressAutoHyphens w:val="0"/>
              <w:ind w:left="426" w:hanging="426"/>
            </w:pPr>
            <w:r>
              <w:t>provide an understanding of the inter-relationships between Islamic and conventional finance, regulation and reporting</w:t>
            </w:r>
          </w:p>
          <w:p w:rsidR="00DC6096" w:rsidRDefault="00DC6096" w:rsidP="00DC6096">
            <w:pPr>
              <w:numPr>
                <w:ilvl w:val="0"/>
                <w:numId w:val="2"/>
              </w:numPr>
              <w:tabs>
                <w:tab w:val="clear" w:pos="1080"/>
                <w:tab w:val="num" w:pos="426"/>
              </w:tabs>
              <w:suppressAutoHyphens w:val="0"/>
              <w:ind w:left="426" w:hanging="426"/>
            </w:pPr>
            <w:r>
              <w:t>d</w:t>
            </w:r>
            <w:r w:rsidRPr="00795E8E">
              <w:t xml:space="preserve">evelop students’ competence in applying </w:t>
            </w:r>
            <w:r>
              <w:t>advanced quantitative techniques</w:t>
            </w:r>
            <w:r w:rsidRPr="00795E8E">
              <w:t xml:space="preserve"> to the practice of </w:t>
            </w:r>
            <w:r>
              <w:t>banking and finance, or to the practice of Islamic banking and finance</w:t>
            </w:r>
            <w:r w:rsidRPr="00795E8E">
              <w:t>;</w:t>
            </w:r>
          </w:p>
          <w:p w:rsidR="00DC6096" w:rsidRDefault="00DC6096" w:rsidP="00DC6096">
            <w:pPr>
              <w:numPr>
                <w:ilvl w:val="0"/>
                <w:numId w:val="2"/>
              </w:numPr>
              <w:tabs>
                <w:tab w:val="clear" w:pos="1080"/>
                <w:tab w:val="num" w:pos="426"/>
              </w:tabs>
              <w:suppressAutoHyphens w:val="0"/>
              <w:ind w:left="426" w:hanging="426"/>
            </w:pPr>
            <w:r>
              <w:t>provide students with the ability to test and evaluate banking/finance/economic models using a range of research methods, data and techniques of analysis;</w:t>
            </w:r>
          </w:p>
          <w:p w:rsidR="00DC6096" w:rsidRDefault="00DC6096" w:rsidP="00DC6096">
            <w:pPr>
              <w:numPr>
                <w:ilvl w:val="0"/>
                <w:numId w:val="2"/>
              </w:numPr>
              <w:tabs>
                <w:tab w:val="clear" w:pos="1080"/>
                <w:tab w:val="num" w:pos="426"/>
              </w:tabs>
              <w:suppressAutoHyphens w:val="0"/>
              <w:ind w:left="426" w:hanging="426"/>
            </w:pPr>
            <w:r>
              <w:t>equip</w:t>
            </w:r>
            <w:r w:rsidRPr="00795E8E">
              <w:t xml:space="preserve"> students with the knowledge and skills </w:t>
            </w:r>
            <w:r>
              <w:t>necessary for</w:t>
            </w:r>
            <w:r w:rsidRPr="00795E8E">
              <w:t xml:space="preserve"> them </w:t>
            </w:r>
            <w:r>
              <w:t>to pursue</w:t>
            </w:r>
            <w:r w:rsidRPr="00795E8E">
              <w:t xml:space="preserve"> a career</w:t>
            </w:r>
          </w:p>
          <w:p w:rsidR="00DC6096" w:rsidRDefault="00DC6096" w:rsidP="00DC6096">
            <w:pPr>
              <w:numPr>
                <w:ilvl w:val="0"/>
                <w:numId w:val="2"/>
              </w:numPr>
              <w:tabs>
                <w:tab w:val="clear" w:pos="1080"/>
                <w:tab w:val="num" w:pos="426"/>
              </w:tabs>
              <w:ind w:left="426" w:hanging="426"/>
            </w:pPr>
            <w:r w:rsidRPr="00795E8E">
              <w:t>in in</w:t>
            </w:r>
            <w:r>
              <w:t>vestment banking, financial markets, corporate finance, or in Islamic banking, finance and insurance industries</w:t>
            </w:r>
            <w:r w:rsidRPr="00795E8E">
              <w:t>;</w:t>
            </w:r>
          </w:p>
          <w:p w:rsidR="00DC6096" w:rsidRPr="00795E8E" w:rsidRDefault="00DC6096" w:rsidP="00DC6096">
            <w:pPr>
              <w:numPr>
                <w:ilvl w:val="0"/>
                <w:numId w:val="2"/>
              </w:numPr>
              <w:tabs>
                <w:tab w:val="clear" w:pos="1080"/>
                <w:tab w:val="num" w:pos="426"/>
              </w:tabs>
              <w:suppressAutoHyphens w:val="0"/>
              <w:ind w:left="426" w:hanging="426"/>
            </w:pPr>
            <w:r>
              <w:t>d</w:t>
            </w:r>
            <w:r w:rsidRPr="00795E8E">
              <w:t xml:space="preserve">evelop students’ </w:t>
            </w:r>
            <w:r>
              <w:t xml:space="preserve">ability to interpret and </w:t>
            </w:r>
            <w:r w:rsidRPr="00795E8E">
              <w:t>critical</w:t>
            </w:r>
            <w:r>
              <w:t>ly</w:t>
            </w:r>
            <w:r w:rsidRPr="00795E8E">
              <w:t xml:space="preserve"> evaluate </w:t>
            </w:r>
            <w:r>
              <w:t>banking, finance and economic theory and related empirical evidence</w:t>
            </w:r>
            <w:r w:rsidRPr="00795E8E">
              <w:t>;</w:t>
            </w:r>
          </w:p>
          <w:p w:rsidR="00DC6096" w:rsidRPr="00E76A71" w:rsidRDefault="00DC6096" w:rsidP="00DC6096">
            <w:pPr>
              <w:numPr>
                <w:ilvl w:val="0"/>
                <w:numId w:val="2"/>
              </w:numPr>
              <w:tabs>
                <w:tab w:val="clear" w:pos="1080"/>
                <w:tab w:val="num" w:pos="426"/>
              </w:tabs>
              <w:suppressAutoHyphens w:val="0"/>
              <w:ind w:left="426" w:hanging="426"/>
              <w:rPr>
                <w:b/>
              </w:rPr>
            </w:pPr>
            <w:r>
              <w:t>develop students’ ability to undertake academically rigorous independent research;</w:t>
            </w:r>
          </w:p>
          <w:p w:rsidR="00DC6096" w:rsidRPr="00D924A2" w:rsidRDefault="00DC6096" w:rsidP="00DC6096">
            <w:pPr>
              <w:pStyle w:val="ListParagraph"/>
              <w:numPr>
                <w:ilvl w:val="0"/>
                <w:numId w:val="10"/>
              </w:numPr>
              <w:suppressAutoHyphens w:val="0"/>
              <w:ind w:hanging="426"/>
              <w:contextualSpacing/>
            </w:pPr>
            <w:r>
              <w:t>enhance the students’ capacity to communicate ideas, arguments and research findings effectively in written form.</w:t>
            </w:r>
          </w:p>
        </w:tc>
      </w:tr>
      <w:tr w:rsidR="00DC6096" w:rsidRPr="00D924A2" w:rsidTr="001428D4">
        <w:trPr>
          <w:cantSplit/>
          <w:trHeight w:val="269"/>
        </w:trPr>
        <w:tc>
          <w:tcPr>
            <w:tcW w:w="5000" w:type="pct"/>
            <w:gridSpan w:val="2"/>
            <w:tcBorders>
              <w:bottom w:val="nil"/>
            </w:tcBorders>
            <w:shd w:val="pct12" w:color="auto" w:fill="FFFFFF"/>
          </w:tcPr>
          <w:p w:rsidR="00DC6096" w:rsidRPr="00D924A2" w:rsidRDefault="00DC6096" w:rsidP="001428D4">
            <w:pPr>
              <w:pStyle w:val="Heading2"/>
              <w:ind w:hanging="426"/>
            </w:pPr>
            <w:bookmarkStart w:id="10" w:name="_Toc393807106"/>
            <w:r w:rsidRPr="00D924A2">
              <w:lastRenderedPageBreak/>
              <w:t>11. Programme outcomes</w:t>
            </w:r>
            <w:bookmarkEnd w:id="10"/>
          </w:p>
        </w:tc>
      </w:tr>
      <w:tr w:rsidR="00DC6096" w:rsidRPr="00D924A2" w:rsidTr="001428D4">
        <w:tc>
          <w:tcPr>
            <w:tcW w:w="2659" w:type="pct"/>
            <w:tcBorders>
              <w:top w:val="nil"/>
            </w:tcBorders>
          </w:tcPr>
          <w:p w:rsidR="00DC6096" w:rsidRPr="00D924A2" w:rsidRDefault="00DC6096" w:rsidP="001428D4">
            <w:pPr>
              <w:pStyle w:val="Heading3"/>
              <w:ind w:hanging="426"/>
            </w:pPr>
            <w:bookmarkStart w:id="11" w:name="_Toc393807107"/>
            <w:r w:rsidRPr="00D924A2">
              <w:t>A. Knowledge and understanding</w:t>
            </w:r>
            <w:bookmarkEnd w:id="11"/>
          </w:p>
          <w:p w:rsidR="00DC6096" w:rsidRDefault="00DC6096" w:rsidP="001428D4">
            <w:pPr>
              <w:ind w:hanging="426"/>
            </w:pPr>
            <w:r w:rsidRPr="00D924A2">
              <w:t>On completion of this programme the successful student will have knowledge and understanding of :</w:t>
            </w:r>
          </w:p>
          <w:p w:rsidR="00DC6096" w:rsidRPr="00795E8E" w:rsidRDefault="00DC6096" w:rsidP="00DC6096">
            <w:pPr>
              <w:numPr>
                <w:ilvl w:val="0"/>
                <w:numId w:val="3"/>
              </w:numPr>
              <w:suppressAutoHyphens w:val="0"/>
              <w:ind w:left="426" w:hanging="426"/>
            </w:pPr>
            <w:r>
              <w:t xml:space="preserve">the application of advanced banking, finance and economic theory  to </w:t>
            </w:r>
            <w:r w:rsidRPr="00795E8E">
              <w:t>current developments and issues</w:t>
            </w:r>
            <w:r>
              <w:t xml:space="preserve"> in financial markets</w:t>
            </w:r>
            <w:r w:rsidRPr="00795E8E">
              <w:t>;</w:t>
            </w:r>
          </w:p>
          <w:p w:rsidR="00DC6096" w:rsidRDefault="00DC6096" w:rsidP="00DC6096">
            <w:pPr>
              <w:numPr>
                <w:ilvl w:val="0"/>
                <w:numId w:val="3"/>
              </w:numPr>
              <w:suppressAutoHyphens w:val="0"/>
              <w:ind w:left="426" w:hanging="426"/>
            </w:pPr>
            <w:r>
              <w:t xml:space="preserve">the role, </w:t>
            </w:r>
            <w:r w:rsidRPr="00795E8E">
              <w:t>operation</w:t>
            </w:r>
            <w:r>
              <w:t>s and regulation</w:t>
            </w:r>
            <w:r w:rsidRPr="00795E8E">
              <w:t xml:space="preserve"> of </w:t>
            </w:r>
            <w:r>
              <w:t>financial intermediaries (institutions);</w:t>
            </w:r>
          </w:p>
          <w:p w:rsidR="00DC6096" w:rsidRDefault="00DC6096" w:rsidP="00DC6096">
            <w:pPr>
              <w:numPr>
                <w:ilvl w:val="0"/>
                <w:numId w:val="3"/>
              </w:numPr>
              <w:suppressAutoHyphens w:val="0"/>
              <w:ind w:left="426" w:hanging="426"/>
            </w:pPr>
            <w:r>
              <w:t xml:space="preserve">the structure and workings of domestic and </w:t>
            </w:r>
            <w:r w:rsidRPr="00795E8E">
              <w:t xml:space="preserve">global </w:t>
            </w:r>
            <w:r>
              <w:t xml:space="preserve">financial </w:t>
            </w:r>
            <w:r w:rsidRPr="00795E8E">
              <w:t>markets</w:t>
            </w:r>
            <w:r>
              <w:t>;</w:t>
            </w:r>
          </w:p>
          <w:p w:rsidR="00DC6096" w:rsidRDefault="00DC6096" w:rsidP="00DC6096">
            <w:pPr>
              <w:numPr>
                <w:ilvl w:val="0"/>
                <w:numId w:val="3"/>
              </w:numPr>
              <w:suppressAutoHyphens w:val="0"/>
              <w:ind w:left="426" w:hanging="426"/>
            </w:pPr>
            <w:r>
              <w:t>key theoretical concepts and practical techniques employed in the management of risks faced by domestic, international or Islamic banks;</w:t>
            </w:r>
          </w:p>
          <w:p w:rsidR="00DC6096" w:rsidRPr="00795E8E" w:rsidRDefault="00DC6096" w:rsidP="00DC6096">
            <w:pPr>
              <w:numPr>
                <w:ilvl w:val="0"/>
                <w:numId w:val="3"/>
              </w:numPr>
              <w:suppressAutoHyphens w:val="0"/>
              <w:ind w:left="426" w:hanging="426"/>
            </w:pPr>
            <w:r>
              <w:t>fundamental theoretical and practical aspects of equity (either Islamic or non-Islamic) and bond portfolio creation, valuation and performance</w:t>
            </w:r>
            <w:r w:rsidRPr="00795E8E">
              <w:t>;</w:t>
            </w:r>
          </w:p>
          <w:p w:rsidR="00DC6096" w:rsidRPr="00795E8E" w:rsidRDefault="00DC6096" w:rsidP="00DC6096">
            <w:pPr>
              <w:numPr>
                <w:ilvl w:val="0"/>
                <w:numId w:val="3"/>
              </w:numPr>
              <w:suppressAutoHyphens w:val="0"/>
              <w:ind w:left="426" w:hanging="426"/>
            </w:pPr>
            <w:r>
              <w:t xml:space="preserve">advanced econometric and </w:t>
            </w:r>
            <w:r w:rsidRPr="00795E8E">
              <w:t xml:space="preserve">statistical </w:t>
            </w:r>
            <w:r>
              <w:t>methods for the estimation, interpretation, and evaluation of results obtained using banking, financial and economic data</w:t>
            </w:r>
            <w:r w:rsidRPr="00795E8E">
              <w:t>;</w:t>
            </w:r>
          </w:p>
          <w:p w:rsidR="00DC6096" w:rsidRPr="00D924A2" w:rsidRDefault="00DC6096" w:rsidP="00DC6096">
            <w:pPr>
              <w:numPr>
                <w:ilvl w:val="0"/>
                <w:numId w:val="3"/>
              </w:numPr>
              <w:suppressAutoHyphens w:val="0"/>
              <w:ind w:left="426" w:hanging="426"/>
            </w:pPr>
            <w:r>
              <w:t>key empirical literature in the fields of banking and finance, or Islamic finance.</w:t>
            </w:r>
          </w:p>
        </w:tc>
        <w:tc>
          <w:tcPr>
            <w:tcW w:w="2341" w:type="pct"/>
            <w:tcBorders>
              <w:top w:val="nil"/>
            </w:tcBorders>
          </w:tcPr>
          <w:p w:rsidR="00DC6096" w:rsidRPr="004268A8" w:rsidRDefault="00DC6096" w:rsidP="001428D4">
            <w:pPr>
              <w:pStyle w:val="Heading3"/>
              <w:ind w:hanging="426"/>
            </w:pPr>
            <w:bookmarkStart w:id="12" w:name="_Toc393807108"/>
            <w:r>
              <w:tab/>
            </w:r>
            <w:r w:rsidRPr="004268A8">
              <w:t>Teaching/learning methods</w:t>
            </w:r>
            <w:bookmarkEnd w:id="12"/>
          </w:p>
          <w:p w:rsidR="00DC6096" w:rsidRPr="00D924A2" w:rsidRDefault="00DC6096" w:rsidP="001428D4">
            <w:pPr>
              <w:ind w:hanging="426"/>
            </w:pPr>
            <w:r>
              <w:tab/>
              <w:t>S</w:t>
            </w:r>
            <w:r w:rsidRPr="00D924A2">
              <w:t>tudents gain knowledge and understanding through</w:t>
            </w:r>
            <w:r>
              <w:t xml:space="preserve"> </w:t>
            </w:r>
            <w:r w:rsidRPr="002D3888">
              <w:t>guided reading of textbooks, academic journals and in-class exercises, lectures, workshops and seminars</w:t>
            </w:r>
            <w:r>
              <w:t xml:space="preserve"> as well as solving exercises and case studies.</w:t>
            </w:r>
          </w:p>
          <w:p w:rsidR="00DC6096" w:rsidRPr="00D924A2" w:rsidRDefault="00DC6096" w:rsidP="001428D4">
            <w:pPr>
              <w:ind w:hanging="426"/>
            </w:pPr>
            <w:r>
              <w:tab/>
            </w:r>
          </w:p>
          <w:p w:rsidR="00DC6096" w:rsidRPr="003F552D" w:rsidRDefault="00DC6096" w:rsidP="001428D4">
            <w:pPr>
              <w:ind w:hanging="426"/>
              <w:rPr>
                <w:b/>
              </w:rPr>
            </w:pPr>
            <w:r>
              <w:rPr>
                <w:b/>
              </w:rPr>
              <w:tab/>
            </w:r>
            <w:r w:rsidRPr="003F552D">
              <w:rPr>
                <w:b/>
              </w:rPr>
              <w:t>Assessment methods</w:t>
            </w:r>
          </w:p>
          <w:p w:rsidR="00DC6096" w:rsidRPr="00867B18" w:rsidRDefault="00DC6096" w:rsidP="001428D4">
            <w:pPr>
              <w:pStyle w:val="BodyText3"/>
              <w:spacing w:after="0"/>
              <w:ind w:hanging="426"/>
              <w:rPr>
                <w:sz w:val="20"/>
              </w:rPr>
            </w:pPr>
            <w:r>
              <w:rPr>
                <w:sz w:val="20"/>
              </w:rPr>
              <w:tab/>
            </w:r>
            <w:r w:rsidRPr="00851F04">
              <w:rPr>
                <w:sz w:val="20"/>
              </w:rPr>
              <w:t>Students’ knowledge and understanding is assessed by</w:t>
            </w:r>
            <w:r>
              <w:rPr>
                <w:sz w:val="20"/>
              </w:rPr>
              <w:t xml:space="preserve"> presentations</w:t>
            </w:r>
            <w:r w:rsidRPr="00851F04">
              <w:rPr>
                <w:sz w:val="20"/>
              </w:rPr>
              <w:t>, examinations and written assignments</w:t>
            </w:r>
            <w:r>
              <w:rPr>
                <w:sz w:val="20"/>
              </w:rPr>
              <w:t xml:space="preserve"> </w:t>
            </w:r>
            <w:r w:rsidRPr="003F552D">
              <w:rPr>
                <w:sz w:val="20"/>
              </w:rPr>
              <w:t>and through the research and writing undertaken to complete their dissertation</w:t>
            </w:r>
            <w:r w:rsidRPr="00795E8E">
              <w:rPr>
                <w:sz w:val="22"/>
                <w:szCs w:val="22"/>
              </w:rPr>
              <w:t>.</w:t>
            </w:r>
            <w:r>
              <w:rPr>
                <w:sz w:val="22"/>
                <w:szCs w:val="22"/>
              </w:rPr>
              <w:t xml:space="preserve"> </w:t>
            </w:r>
            <w:r w:rsidRPr="00867B18">
              <w:rPr>
                <w:sz w:val="20"/>
              </w:rPr>
              <w:t>Most assessments are individually based, although some may require group work. Seminars and workshops will provide an opportunity for peer review, learning, formative and self-assessment and for feedback.</w:t>
            </w:r>
          </w:p>
          <w:p w:rsidR="00DC6096" w:rsidRPr="00D924A2" w:rsidRDefault="00DC6096" w:rsidP="001428D4">
            <w:pPr>
              <w:pStyle w:val="BodyText3"/>
              <w:spacing w:after="0"/>
              <w:ind w:hanging="426"/>
            </w:pPr>
            <w:r w:rsidRPr="00851F04">
              <w:rPr>
                <w:sz w:val="20"/>
              </w:rPr>
              <w:t>.</w:t>
            </w:r>
          </w:p>
        </w:tc>
      </w:tr>
      <w:tr w:rsidR="00DC6096" w:rsidRPr="00D924A2" w:rsidTr="001428D4">
        <w:tc>
          <w:tcPr>
            <w:tcW w:w="2659" w:type="pct"/>
          </w:tcPr>
          <w:p w:rsidR="00DC6096" w:rsidRPr="00D924A2" w:rsidRDefault="00DC6096" w:rsidP="001428D4">
            <w:pPr>
              <w:pStyle w:val="Heading3"/>
              <w:ind w:left="426" w:hanging="426"/>
            </w:pPr>
            <w:bookmarkStart w:id="13" w:name="_Toc393807109"/>
            <w:r w:rsidRPr="00D924A2">
              <w:t>B. Cognitive (thinking) skills</w:t>
            </w:r>
            <w:bookmarkEnd w:id="13"/>
          </w:p>
          <w:p w:rsidR="00DC6096" w:rsidRPr="00D924A2" w:rsidRDefault="00DC6096" w:rsidP="001428D4">
            <w:pPr>
              <w:ind w:left="426" w:hanging="426"/>
            </w:pPr>
            <w:r w:rsidRPr="00D924A2">
              <w:lastRenderedPageBreak/>
              <w:t>On completion of this programme the successful student will be able to:</w:t>
            </w:r>
          </w:p>
          <w:p w:rsidR="00DC6096" w:rsidRDefault="00DC6096" w:rsidP="00DC6096">
            <w:pPr>
              <w:numPr>
                <w:ilvl w:val="0"/>
                <w:numId w:val="4"/>
              </w:numPr>
              <w:suppressAutoHyphens w:val="0"/>
              <w:ind w:left="426" w:hanging="426"/>
            </w:pPr>
            <w:r>
              <w:t>criticise, compare and evaluate competing theories in the fields of banking and finance;</w:t>
            </w:r>
          </w:p>
          <w:p w:rsidR="00DC6096" w:rsidRDefault="00DC6096" w:rsidP="00DC6096">
            <w:pPr>
              <w:numPr>
                <w:ilvl w:val="0"/>
                <w:numId w:val="4"/>
              </w:numPr>
              <w:suppressAutoHyphens w:val="0"/>
              <w:ind w:left="426" w:hanging="426"/>
            </w:pPr>
            <w:r>
              <w:t>critically appraise empirical literature</w:t>
            </w:r>
            <w:r w:rsidRPr="00795E8E">
              <w:t>;</w:t>
            </w:r>
          </w:p>
          <w:p w:rsidR="00DC6096" w:rsidRDefault="00DC6096" w:rsidP="00DC6096">
            <w:pPr>
              <w:numPr>
                <w:ilvl w:val="0"/>
                <w:numId w:val="4"/>
              </w:numPr>
              <w:suppressAutoHyphens w:val="0"/>
              <w:ind w:left="426" w:hanging="426"/>
            </w:pPr>
            <w:r>
              <w:t>synthesise theoretical and practical understanding in problem solving exercises and case studies;</w:t>
            </w:r>
          </w:p>
          <w:p w:rsidR="00DC6096" w:rsidRDefault="00DC6096" w:rsidP="00DC6096">
            <w:pPr>
              <w:numPr>
                <w:ilvl w:val="0"/>
                <w:numId w:val="4"/>
              </w:numPr>
              <w:suppressAutoHyphens w:val="0"/>
              <w:ind w:left="426" w:hanging="426"/>
            </w:pPr>
            <w:r>
              <w:t>present cogent, reflective and, where appropriate creative arguments that demonstrate advanced understanding of banking and finance;</w:t>
            </w:r>
          </w:p>
          <w:p w:rsidR="00DC6096" w:rsidRPr="00795E8E" w:rsidRDefault="00DC6096" w:rsidP="00DC6096">
            <w:pPr>
              <w:numPr>
                <w:ilvl w:val="0"/>
                <w:numId w:val="4"/>
              </w:numPr>
              <w:suppressAutoHyphens w:val="0"/>
              <w:ind w:left="426" w:hanging="426"/>
            </w:pPr>
            <w:r>
              <w:t>critically interpret and evaluate financial information and data;</w:t>
            </w:r>
          </w:p>
          <w:p w:rsidR="00DC6096" w:rsidRPr="00795E8E" w:rsidRDefault="00DC6096" w:rsidP="00DC6096">
            <w:pPr>
              <w:numPr>
                <w:ilvl w:val="0"/>
                <w:numId w:val="4"/>
              </w:numPr>
              <w:suppressAutoHyphens w:val="0"/>
              <w:ind w:left="426" w:hanging="426"/>
            </w:pPr>
            <w:r>
              <w:t>pursue an independent and original line of enquiry in identifying and researching a dissertation topic;</w:t>
            </w:r>
          </w:p>
          <w:p w:rsidR="00DC6096" w:rsidRPr="00D924A2" w:rsidRDefault="00DC6096" w:rsidP="00DC6096">
            <w:pPr>
              <w:numPr>
                <w:ilvl w:val="0"/>
                <w:numId w:val="4"/>
              </w:numPr>
              <w:suppressAutoHyphens w:val="0"/>
              <w:ind w:left="426" w:hanging="426"/>
            </w:pPr>
            <w:r>
              <w:t>e</w:t>
            </w:r>
            <w:r w:rsidRPr="00A84797">
              <w:t xml:space="preserve">ffectively organise, structure and </w:t>
            </w:r>
            <w:r>
              <w:t xml:space="preserve">produce </w:t>
            </w:r>
            <w:r w:rsidRPr="00A84797">
              <w:t xml:space="preserve">a </w:t>
            </w:r>
            <w:r>
              <w:t>dissertation</w:t>
            </w:r>
            <w:r w:rsidRPr="00A84797">
              <w:t xml:space="preserve"> at an advanced level</w:t>
            </w:r>
            <w:r>
              <w:t>.</w:t>
            </w:r>
          </w:p>
        </w:tc>
        <w:tc>
          <w:tcPr>
            <w:tcW w:w="2341" w:type="pct"/>
          </w:tcPr>
          <w:p w:rsidR="00DC6096" w:rsidRPr="00D924A2" w:rsidRDefault="00DC6096" w:rsidP="001428D4">
            <w:pPr>
              <w:pStyle w:val="Heading3"/>
              <w:ind w:left="426" w:hanging="426"/>
            </w:pPr>
            <w:bookmarkStart w:id="14" w:name="_Toc393807110"/>
            <w:r w:rsidRPr="00D924A2">
              <w:lastRenderedPageBreak/>
              <w:t>Teaching/learning methods</w:t>
            </w:r>
            <w:bookmarkEnd w:id="14"/>
          </w:p>
          <w:p w:rsidR="00DC6096" w:rsidRPr="00656DAF" w:rsidRDefault="00DC6096" w:rsidP="001428D4">
            <w:pPr>
              <w:ind w:left="426" w:hanging="426"/>
            </w:pPr>
            <w:r w:rsidRPr="00D924A2">
              <w:lastRenderedPageBreak/>
              <w:t>Students learn cognitive skills through</w:t>
            </w:r>
            <w:r>
              <w:t xml:space="preserve"> </w:t>
            </w:r>
            <w:r w:rsidRPr="00795E8E">
              <w:t>working through a series of real life problems and seeking solutions</w:t>
            </w:r>
            <w:r>
              <w:t xml:space="preserve">; by </w:t>
            </w:r>
            <w:r w:rsidRPr="00795E8E">
              <w:t>reading and interpreting research articles</w:t>
            </w:r>
            <w:r>
              <w:t xml:space="preserve">; by </w:t>
            </w:r>
            <w:r w:rsidRPr="00795E8E">
              <w:t xml:space="preserve">listening and discussing </w:t>
            </w:r>
            <w:r>
              <w:t xml:space="preserve">a series of topics and theories; </w:t>
            </w:r>
            <w:r w:rsidRPr="00795E8E">
              <w:t>by identifying suitable research articles to support their learning and their dissertation</w:t>
            </w:r>
            <w:r>
              <w:t xml:space="preserve">; and </w:t>
            </w:r>
            <w:r w:rsidRPr="00795E8E">
              <w:t>by applying theory to a specific problem and producing a significant piece of work based on their analysis</w:t>
            </w:r>
            <w:r>
              <w:t>.</w:t>
            </w:r>
          </w:p>
          <w:p w:rsidR="00DC6096" w:rsidRPr="00D924A2" w:rsidRDefault="00DC6096" w:rsidP="001428D4">
            <w:pPr>
              <w:pStyle w:val="Heading3"/>
              <w:ind w:left="426" w:hanging="426"/>
            </w:pPr>
            <w:bookmarkStart w:id="15" w:name="_Toc393807111"/>
            <w:r w:rsidRPr="00D924A2">
              <w:t>Assessment methods</w:t>
            </w:r>
            <w:bookmarkEnd w:id="15"/>
          </w:p>
          <w:p w:rsidR="00DC6096" w:rsidRPr="00795E8E" w:rsidRDefault="00DC6096" w:rsidP="001428D4">
            <w:pPr>
              <w:spacing w:after="120"/>
              <w:ind w:left="426" w:hanging="426"/>
            </w:pPr>
            <w:r w:rsidRPr="00D924A2">
              <w:t>Students’ cognitive skills are assessed by</w:t>
            </w:r>
            <w:r>
              <w:t xml:space="preserve"> </w:t>
            </w:r>
            <w:r w:rsidRPr="00795E8E">
              <w:t>cou</w:t>
            </w:r>
            <w:r>
              <w:t>rsework which requires them to access</w:t>
            </w:r>
            <w:r w:rsidRPr="00795E8E">
              <w:t xml:space="preserve"> data, analyse, and interpret it and write reports.</w:t>
            </w:r>
          </w:p>
          <w:p w:rsidR="00DC6096" w:rsidRPr="00D924A2" w:rsidRDefault="00DC6096" w:rsidP="001428D4">
            <w:pPr>
              <w:spacing w:after="120"/>
              <w:ind w:left="426" w:hanging="426"/>
            </w:pPr>
            <w:r>
              <w:t>Also</w:t>
            </w:r>
            <w:r w:rsidRPr="00795E8E">
              <w:t xml:space="preserve"> the planning, implementation</w:t>
            </w:r>
            <w:r>
              <w:t xml:space="preserve"> </w:t>
            </w:r>
            <w:r w:rsidRPr="00795E8E">
              <w:t>and production of a dissertation will give students ample opportunity to think, plan and identify their weaknesses and work through these to solve specific problems.</w:t>
            </w:r>
          </w:p>
        </w:tc>
      </w:tr>
    </w:tbl>
    <w:p w:rsidR="00DC6096" w:rsidRDefault="00DC6096" w:rsidP="00DC6096">
      <w:r>
        <w:rPr>
          <w:b/>
          <w:bCs/>
        </w:rPr>
        <w:lastRenderedPageBreak/>
        <w:br w:type="page"/>
      </w:r>
    </w:p>
    <w:tbl>
      <w:tblPr>
        <w:tblW w:w="4947" w:type="pct"/>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57"/>
        <w:gridCol w:w="2448"/>
      </w:tblGrid>
      <w:tr w:rsidR="00DC6096" w:rsidRPr="00D924A2" w:rsidTr="001428D4">
        <w:tc>
          <w:tcPr>
            <w:tcW w:w="3201" w:type="pct"/>
          </w:tcPr>
          <w:p w:rsidR="00DC6096" w:rsidRPr="00D924A2" w:rsidRDefault="00DC6096" w:rsidP="001428D4">
            <w:pPr>
              <w:pStyle w:val="Heading3"/>
              <w:ind w:left="426" w:hanging="426"/>
            </w:pPr>
            <w:r>
              <w:lastRenderedPageBreak/>
              <w:br w:type="page"/>
            </w:r>
            <w:bookmarkStart w:id="16" w:name="_Toc393807112"/>
            <w:r w:rsidRPr="00D924A2">
              <w:t>C. Practical skills</w:t>
            </w:r>
            <w:bookmarkEnd w:id="16"/>
          </w:p>
          <w:p w:rsidR="00DC6096" w:rsidRPr="00D924A2" w:rsidRDefault="00DC6096" w:rsidP="001428D4">
            <w:pPr>
              <w:ind w:left="426" w:hanging="426"/>
            </w:pPr>
            <w:r w:rsidRPr="00D924A2">
              <w:t>On completion of the programme the successful student will be able to:</w:t>
            </w:r>
          </w:p>
          <w:p w:rsidR="00DC6096" w:rsidRPr="00795E8E" w:rsidRDefault="00DC6096" w:rsidP="00DC6096">
            <w:pPr>
              <w:numPr>
                <w:ilvl w:val="0"/>
                <w:numId w:val="5"/>
              </w:numPr>
              <w:tabs>
                <w:tab w:val="clear" w:pos="720"/>
                <w:tab w:val="num" w:pos="426"/>
              </w:tabs>
              <w:suppressAutoHyphens w:val="0"/>
              <w:ind w:left="426" w:hanging="426"/>
            </w:pPr>
            <w:r>
              <w:t>source banking,</w:t>
            </w:r>
            <w:r w:rsidRPr="00795E8E">
              <w:t xml:space="preserve"> financial </w:t>
            </w:r>
            <w:r>
              <w:t xml:space="preserve"> and economic data</w:t>
            </w:r>
            <w:r w:rsidRPr="00795E8E">
              <w:t xml:space="preserve"> from a range of different sources including electronic databases and use t</w:t>
            </w:r>
            <w:r>
              <w:t>his to support his/her learning</w:t>
            </w:r>
            <w:r w:rsidRPr="00795E8E">
              <w:t>;</w:t>
            </w:r>
          </w:p>
          <w:p w:rsidR="00DC6096" w:rsidRPr="00795E8E" w:rsidRDefault="00DC6096" w:rsidP="00DC6096">
            <w:pPr>
              <w:numPr>
                <w:ilvl w:val="0"/>
                <w:numId w:val="5"/>
              </w:numPr>
              <w:tabs>
                <w:tab w:val="clear" w:pos="720"/>
                <w:tab w:val="num" w:pos="426"/>
              </w:tabs>
              <w:suppressAutoHyphens w:val="0"/>
              <w:ind w:left="426" w:hanging="426"/>
            </w:pPr>
            <w:r>
              <w:t>a</w:t>
            </w:r>
            <w:r w:rsidRPr="00795E8E">
              <w:t xml:space="preserve">nalyse and interpret </w:t>
            </w:r>
            <w:r>
              <w:t xml:space="preserve">banking, </w:t>
            </w:r>
            <w:r w:rsidRPr="00795E8E">
              <w:t>financial</w:t>
            </w:r>
            <w:r>
              <w:t xml:space="preserve"> and economic</w:t>
            </w:r>
            <w:r w:rsidRPr="00795E8E">
              <w:t xml:space="preserve"> data</w:t>
            </w:r>
            <w:r>
              <w:t xml:space="preserve"> at firm, industry and country level</w:t>
            </w:r>
            <w:r w:rsidRPr="00795E8E">
              <w:t xml:space="preserve">; </w:t>
            </w:r>
          </w:p>
          <w:p w:rsidR="00DC6096" w:rsidRDefault="00DC6096" w:rsidP="00DC6096">
            <w:pPr>
              <w:numPr>
                <w:ilvl w:val="0"/>
                <w:numId w:val="5"/>
              </w:numPr>
              <w:tabs>
                <w:tab w:val="clear" w:pos="720"/>
                <w:tab w:val="num" w:pos="426"/>
              </w:tabs>
              <w:suppressAutoHyphens w:val="0"/>
              <w:ind w:left="426" w:hanging="426"/>
            </w:pPr>
            <w:r>
              <w:t>demonstrate problem solving skills</w:t>
            </w:r>
            <w:r w:rsidRPr="00795E8E">
              <w:t>;</w:t>
            </w:r>
          </w:p>
          <w:p w:rsidR="00DC6096" w:rsidRDefault="00DC6096" w:rsidP="00DC6096">
            <w:pPr>
              <w:numPr>
                <w:ilvl w:val="0"/>
                <w:numId w:val="5"/>
              </w:numPr>
              <w:tabs>
                <w:tab w:val="clear" w:pos="720"/>
                <w:tab w:val="num" w:pos="426"/>
              </w:tabs>
              <w:suppressAutoHyphens w:val="0"/>
              <w:ind w:left="426" w:hanging="426"/>
            </w:pPr>
            <w:r>
              <w:t>formulate empirically testable banking, financial and economic models;</w:t>
            </w:r>
          </w:p>
          <w:p w:rsidR="00DC6096" w:rsidRDefault="00DC6096" w:rsidP="00DC6096">
            <w:pPr>
              <w:numPr>
                <w:ilvl w:val="0"/>
                <w:numId w:val="5"/>
              </w:numPr>
              <w:tabs>
                <w:tab w:val="clear" w:pos="720"/>
                <w:tab w:val="num" w:pos="426"/>
              </w:tabs>
              <w:suppressAutoHyphens w:val="0"/>
              <w:ind w:left="426" w:hanging="426"/>
            </w:pPr>
            <w:r>
              <w:t>use econometric software to investigate relationships in banking, financial and economic data;</w:t>
            </w:r>
          </w:p>
          <w:p w:rsidR="00DC6096" w:rsidRPr="00D924A2" w:rsidRDefault="00DC6096" w:rsidP="00DC6096">
            <w:pPr>
              <w:numPr>
                <w:ilvl w:val="0"/>
                <w:numId w:val="5"/>
              </w:numPr>
              <w:tabs>
                <w:tab w:val="clear" w:pos="720"/>
                <w:tab w:val="num" w:pos="426"/>
              </w:tabs>
              <w:suppressAutoHyphens w:val="0"/>
              <w:ind w:left="426" w:hanging="426"/>
            </w:pPr>
            <w:r>
              <w:t>interpret and evaluate the results of econometric analysis.</w:t>
            </w:r>
          </w:p>
        </w:tc>
        <w:tc>
          <w:tcPr>
            <w:tcW w:w="1799" w:type="pct"/>
          </w:tcPr>
          <w:p w:rsidR="00DC6096" w:rsidRPr="00D924A2" w:rsidRDefault="00DC6096" w:rsidP="001428D4">
            <w:pPr>
              <w:pStyle w:val="Heading3"/>
              <w:ind w:hanging="426"/>
            </w:pPr>
            <w:bookmarkStart w:id="17" w:name="_Toc393807113"/>
            <w:r>
              <w:tab/>
            </w:r>
            <w:r w:rsidRPr="00D924A2">
              <w:t>Teaching/learning methods</w:t>
            </w:r>
            <w:bookmarkEnd w:id="17"/>
          </w:p>
          <w:p w:rsidR="00DC6096" w:rsidRPr="00795E8E" w:rsidRDefault="00DC6096" w:rsidP="001428D4">
            <w:pPr>
              <w:ind w:hanging="426"/>
            </w:pPr>
            <w:r>
              <w:tab/>
            </w:r>
            <w:r w:rsidRPr="00D924A2">
              <w:t>Students learn practical skills through</w:t>
            </w:r>
            <w:r w:rsidRPr="00795E8E">
              <w:t xml:space="preserve"> looking at research material and identifying suitable support research to </w:t>
            </w:r>
            <w:r>
              <w:t xml:space="preserve">develop their own ideas as well as </w:t>
            </w:r>
            <w:r w:rsidRPr="00795E8E">
              <w:t>completing coursework and practising for examinations.</w:t>
            </w:r>
          </w:p>
          <w:p w:rsidR="00DC6096" w:rsidRPr="00D924A2" w:rsidRDefault="00DC6096" w:rsidP="001428D4">
            <w:pPr>
              <w:ind w:hanging="426"/>
            </w:pPr>
            <w:r>
              <w:tab/>
            </w:r>
          </w:p>
          <w:p w:rsidR="00DC6096" w:rsidRPr="00D924A2" w:rsidRDefault="00DC6096" w:rsidP="001428D4">
            <w:pPr>
              <w:pStyle w:val="Heading3"/>
              <w:ind w:hanging="426"/>
            </w:pPr>
            <w:bookmarkStart w:id="18" w:name="_Toc393807114"/>
            <w:r>
              <w:tab/>
            </w:r>
            <w:r w:rsidRPr="00D924A2">
              <w:t>Assessment methods</w:t>
            </w:r>
            <w:bookmarkEnd w:id="18"/>
          </w:p>
          <w:p w:rsidR="00DC6096" w:rsidRPr="00F71715" w:rsidRDefault="00DC6096" w:rsidP="001428D4">
            <w:pPr>
              <w:ind w:hanging="426"/>
            </w:pPr>
            <w:r>
              <w:tab/>
            </w:r>
            <w:r w:rsidRPr="00D924A2">
              <w:t>Students’ practical skills are assessed by</w:t>
            </w:r>
            <w:r w:rsidRPr="002D3888">
              <w:t xml:space="preserve"> individual assignments and examinations</w:t>
            </w:r>
            <w:r>
              <w:t xml:space="preserve"> as well as production of their dissertation</w:t>
            </w:r>
          </w:p>
          <w:p w:rsidR="00DC6096" w:rsidRPr="00D924A2" w:rsidRDefault="00DC6096" w:rsidP="001428D4">
            <w:pPr>
              <w:ind w:hanging="426"/>
            </w:pPr>
          </w:p>
          <w:p w:rsidR="00DC6096" w:rsidRPr="00D924A2" w:rsidRDefault="00DC6096" w:rsidP="001428D4">
            <w:pPr>
              <w:ind w:hanging="426"/>
            </w:pPr>
          </w:p>
        </w:tc>
      </w:tr>
    </w:tbl>
    <w:p w:rsidR="00DC6096" w:rsidRDefault="00DC6096" w:rsidP="00DC6096"/>
    <w:p w:rsidR="00DC6096" w:rsidRDefault="00DC6096" w:rsidP="00DC6096"/>
    <w:tbl>
      <w:tblPr>
        <w:tblW w:w="494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805"/>
      </w:tblGrid>
      <w:tr w:rsidR="00DC6096" w:rsidRPr="00D924A2" w:rsidTr="001428D4">
        <w:trPr>
          <w:trHeight w:val="404"/>
        </w:trPr>
        <w:tc>
          <w:tcPr>
            <w:tcW w:w="5000" w:type="pct"/>
            <w:shd w:val="pct12" w:color="auto" w:fill="FFFFFF"/>
          </w:tcPr>
          <w:p w:rsidR="00DC6096" w:rsidRPr="00D924A2" w:rsidRDefault="00DC6096" w:rsidP="001428D4">
            <w:pPr>
              <w:pStyle w:val="Heading2"/>
            </w:pPr>
            <w:bookmarkStart w:id="19" w:name="_Toc393807115"/>
            <w:r w:rsidRPr="00D924A2">
              <w:lastRenderedPageBreak/>
              <w:t>12. Programme structure (levels, modules, credits and progression requirements)</w:t>
            </w:r>
            <w:bookmarkEnd w:id="19"/>
          </w:p>
        </w:tc>
      </w:tr>
      <w:tr w:rsidR="00DC6096" w:rsidRPr="00D924A2" w:rsidTr="001428D4">
        <w:trPr>
          <w:trHeight w:val="386"/>
        </w:trPr>
        <w:tc>
          <w:tcPr>
            <w:tcW w:w="5000" w:type="pct"/>
            <w:tcBorders>
              <w:bottom w:val="nil"/>
            </w:tcBorders>
            <w:shd w:val="pct12" w:color="auto" w:fill="FFFFFF"/>
          </w:tcPr>
          <w:p w:rsidR="00DC6096" w:rsidRPr="00D924A2" w:rsidRDefault="00DC6096" w:rsidP="001428D4">
            <w:pPr>
              <w:pStyle w:val="Heading2"/>
            </w:pPr>
            <w:bookmarkStart w:id="20" w:name="_Toc393807116"/>
            <w:r w:rsidRPr="00D924A2">
              <w:t>12. 1 Overall structure of the programme</w:t>
            </w:r>
            <w:bookmarkEnd w:id="20"/>
          </w:p>
        </w:tc>
      </w:tr>
      <w:tr w:rsidR="00DC6096" w:rsidRPr="00D924A2" w:rsidTr="001428D4">
        <w:trPr>
          <w:trHeight w:val="1570"/>
        </w:trPr>
        <w:tc>
          <w:tcPr>
            <w:tcW w:w="5000" w:type="pct"/>
            <w:tcBorders>
              <w:top w:val="nil"/>
            </w:tcBorders>
          </w:tcPr>
          <w:p w:rsidR="00DC6096" w:rsidRDefault="00DC6096" w:rsidP="001428D4">
            <w:pPr>
              <w:tabs>
                <w:tab w:val="left" w:pos="720"/>
              </w:tabs>
            </w:pPr>
            <w:r w:rsidRPr="0086495A">
              <w:t xml:space="preserve">The MSc Banking and Finance programme will offer both full- and part-time modes, with the </w:t>
            </w:r>
            <w:r>
              <w:t xml:space="preserve">latter being run over 2 years.  </w:t>
            </w:r>
            <w:r w:rsidRPr="0086495A">
              <w:t xml:space="preserve">The programme will consist of </w:t>
            </w:r>
            <w:r>
              <w:t>three</w:t>
            </w:r>
            <w:r w:rsidRPr="0086495A">
              <w:t xml:space="preserve"> core modules</w:t>
            </w:r>
            <w:r>
              <w:t>, 5 optional modules</w:t>
            </w:r>
            <w:r w:rsidRPr="0086495A">
              <w:t xml:space="preserve"> and a dissertation.</w:t>
            </w:r>
            <w:r>
              <w:t xml:space="preserve">  Three</w:t>
            </w:r>
            <w:r w:rsidRPr="0086495A">
              <w:t xml:space="preserve"> taught module</w:t>
            </w:r>
            <w:r>
              <w:t>s</w:t>
            </w:r>
            <w:r w:rsidRPr="0086495A">
              <w:t xml:space="preserve"> will be worth 30 credits and be taugh</w:t>
            </w:r>
            <w:r>
              <w:t xml:space="preserve">t over the full academic year while the other four will be worth 15 credits and taught on a term only basis.  </w:t>
            </w:r>
            <w:r w:rsidRPr="0086495A">
              <w:t>The dissertation will carry 60 credits. Year long modules will provide students with more time to assimilate the su</w:t>
            </w:r>
            <w:r>
              <w:t xml:space="preserve">bject matter in each module.  </w:t>
            </w:r>
            <w:r w:rsidRPr="0086495A">
              <w:t>This will help students, particularly, in those modules with a large quantitative content.  In order to motivate students and facilitate student retention and progression, taught modules will contain a mix of assessment components,</w:t>
            </w:r>
            <w:r>
              <w:t xml:space="preserve"> both summative and formative.  </w:t>
            </w:r>
            <w:r w:rsidRPr="0086495A">
              <w:t xml:space="preserve">These might include in-class tests, computer based assignments, essays, case studies, </w:t>
            </w:r>
            <w:r>
              <w:t xml:space="preserve">group presentations/assignments </w:t>
            </w:r>
            <w:r w:rsidRPr="0086495A">
              <w:t>a</w:t>
            </w:r>
            <w:r>
              <w:t xml:space="preserve">nd final unseen examinations.  </w:t>
            </w:r>
            <w:r w:rsidRPr="0086495A">
              <w:t>The use of summative assessment at various stages of the programme will encourage students to consolidate their understanding.</w:t>
            </w:r>
          </w:p>
          <w:p w:rsidR="00DC6096" w:rsidRPr="0086495A" w:rsidRDefault="00DC6096" w:rsidP="001428D4">
            <w:pPr>
              <w:tabs>
                <w:tab w:val="left" w:pos="720"/>
              </w:tabs>
            </w:pPr>
            <w:r w:rsidRPr="0086495A">
              <w:t xml:space="preserve"> </w:t>
            </w:r>
          </w:p>
          <w:p w:rsidR="00DC6096" w:rsidRPr="001A0677" w:rsidRDefault="00DC6096" w:rsidP="001428D4">
            <w:pPr>
              <w:rPr>
                <w:b/>
              </w:rPr>
            </w:pPr>
            <w:r w:rsidRPr="0086495A">
              <w:t>In the first term the</w:t>
            </w:r>
            <w:r>
              <w:t>re</w:t>
            </w:r>
            <w:r w:rsidRPr="0086495A">
              <w:t xml:space="preserve"> will </w:t>
            </w:r>
            <w:r>
              <w:t>be</w:t>
            </w:r>
            <w:r w:rsidRPr="0086495A">
              <w:t xml:space="preserve"> dissertation workshops on a range of research related topics, such as, the structure of a Masters dissertation, identifying a topic, research tools available on the internet (sites where data and academic papers can be downloaded), developing and writing a research proposal, doing an applied econometrics project, and how to write a literature review. In the second term, the Learning Resources Centre will present workshops on collecting data from Datastream, Bankscope and Fame. Students will be required to submit a dissertation proposal at the beginning of the second term.  This will be used to allocate dissertation supervisors.  With guidance from their supervisor students will be required to prepare a detailed review of the literature, proposed methodology and sourcing of data.  This will be submitted to supervisors after the year-end examinations.  The deadline for submitting the completed dissertation will be the end of September, 12 months after the start of the programme.</w:t>
            </w:r>
          </w:p>
        </w:tc>
      </w:tr>
    </w:tbl>
    <w:p w:rsidR="00DC6096" w:rsidRDefault="00DC6096" w:rsidP="00DC6096"/>
    <w:tbl>
      <w:tblPr>
        <w:tblW w:w="4967" w:type="pct"/>
        <w:tblInd w:w="-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60"/>
        <w:gridCol w:w="1018"/>
        <w:gridCol w:w="2279"/>
        <w:gridCol w:w="2476"/>
      </w:tblGrid>
      <w:tr w:rsidR="00DC6096" w:rsidRPr="00D924A2" w:rsidTr="001428D4">
        <w:tc>
          <w:tcPr>
            <w:tcW w:w="5000" w:type="pct"/>
            <w:gridSpan w:val="4"/>
            <w:shd w:val="pct15" w:color="auto" w:fill="FFFFFF"/>
          </w:tcPr>
          <w:p w:rsidR="00DC6096" w:rsidRPr="00D924A2" w:rsidRDefault="00DC6096" w:rsidP="001428D4">
            <w:pPr>
              <w:pStyle w:val="Heading2"/>
            </w:pPr>
            <w:r>
              <w:lastRenderedPageBreak/>
              <w:br w:type="page"/>
            </w:r>
            <w:r w:rsidRPr="00D924A2">
              <w:br w:type="page"/>
            </w:r>
            <w:bookmarkStart w:id="21" w:name="_Toc393807117"/>
            <w:r w:rsidRPr="00D924A2">
              <w:t>12.2 Levels and modules</w:t>
            </w:r>
            <w:bookmarkEnd w:id="21"/>
          </w:p>
          <w:p w:rsidR="00DC6096" w:rsidRPr="00D924A2" w:rsidRDefault="00DC6096" w:rsidP="001428D4">
            <w:r w:rsidRPr="00D924A2">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DC6096" w:rsidRPr="00D924A2" w:rsidTr="001428D4">
        <w:trPr>
          <w:cantSplit/>
          <w:trHeight w:val="90"/>
        </w:trPr>
        <w:tc>
          <w:tcPr>
            <w:tcW w:w="5000" w:type="pct"/>
            <w:gridSpan w:val="4"/>
          </w:tcPr>
          <w:p w:rsidR="00DC6096" w:rsidRPr="00D924A2" w:rsidRDefault="00DC6096" w:rsidP="001428D4">
            <w:r w:rsidRPr="00D924A2">
              <w:t xml:space="preserve">Level </w:t>
            </w:r>
            <w:r>
              <w:t>7</w:t>
            </w:r>
            <w:r w:rsidRPr="00D924A2">
              <w:t xml:space="preserve"> (</w:t>
            </w:r>
            <w:r>
              <w:t>4</w:t>
            </w:r>
            <w:r w:rsidRPr="00D924A2">
              <w:t>)</w:t>
            </w:r>
          </w:p>
        </w:tc>
      </w:tr>
      <w:tr w:rsidR="00DC6096" w:rsidRPr="00D924A2" w:rsidTr="001428D4">
        <w:trPr>
          <w:cantSplit/>
        </w:trPr>
        <w:tc>
          <w:tcPr>
            <w:tcW w:w="1429" w:type="pct"/>
            <w:gridSpan w:val="2"/>
            <w:tcBorders>
              <w:bottom w:val="single" w:sz="6" w:space="0" w:color="000000"/>
            </w:tcBorders>
          </w:tcPr>
          <w:p w:rsidR="00DC6096" w:rsidRPr="00D924A2" w:rsidRDefault="00DC6096" w:rsidP="001428D4">
            <w:pPr>
              <w:rPr>
                <w:lang w:val="en-US"/>
              </w:rPr>
            </w:pPr>
            <w:r w:rsidRPr="00D924A2">
              <w:rPr>
                <w:lang w:val="en-US"/>
              </w:rPr>
              <w:t>COMPULSORY</w:t>
            </w:r>
          </w:p>
        </w:tc>
        <w:tc>
          <w:tcPr>
            <w:tcW w:w="1713" w:type="pct"/>
          </w:tcPr>
          <w:p w:rsidR="00DC6096" w:rsidRPr="00D924A2" w:rsidRDefault="00DC6096" w:rsidP="001428D4">
            <w:pPr>
              <w:rPr>
                <w:lang w:val="en-US"/>
              </w:rPr>
            </w:pPr>
            <w:r w:rsidRPr="00D924A2">
              <w:rPr>
                <w:lang w:val="en-US"/>
              </w:rPr>
              <w:t>OPTIONAL</w:t>
            </w:r>
          </w:p>
        </w:tc>
        <w:tc>
          <w:tcPr>
            <w:tcW w:w="1857" w:type="pct"/>
          </w:tcPr>
          <w:p w:rsidR="00DC6096" w:rsidRPr="00D924A2" w:rsidRDefault="00DC6096" w:rsidP="001428D4">
            <w:pPr>
              <w:pStyle w:val="BodyText3"/>
            </w:pPr>
            <w:r w:rsidRPr="00D924A2">
              <w:t>PROGRESSION REQUIREMENTS</w:t>
            </w:r>
          </w:p>
        </w:tc>
      </w:tr>
      <w:tr w:rsidR="00DC6096" w:rsidRPr="00D924A2" w:rsidTr="001428D4">
        <w:trPr>
          <w:cantSplit/>
          <w:trHeight w:val="697"/>
        </w:trPr>
        <w:tc>
          <w:tcPr>
            <w:tcW w:w="1429" w:type="pct"/>
            <w:gridSpan w:val="2"/>
            <w:tcBorders>
              <w:bottom w:val="nil"/>
            </w:tcBorders>
          </w:tcPr>
          <w:p w:rsidR="00DC6096" w:rsidRPr="00515A79" w:rsidRDefault="00DC6096" w:rsidP="001428D4">
            <w:pPr>
              <w:spacing w:after="120"/>
            </w:pPr>
            <w:r w:rsidRPr="00D924A2">
              <w:rPr>
                <w:lang w:val="en-US"/>
              </w:rPr>
              <w:t>Students must take all of the following:</w:t>
            </w:r>
          </w:p>
        </w:tc>
        <w:tc>
          <w:tcPr>
            <w:tcW w:w="1713" w:type="pct"/>
            <w:vMerge w:val="restart"/>
          </w:tcPr>
          <w:p w:rsidR="00DC6096" w:rsidRDefault="00DC6096" w:rsidP="001428D4">
            <w:pPr>
              <w:rPr>
                <w:lang w:val="en-US"/>
              </w:rPr>
            </w:pPr>
          </w:p>
          <w:p w:rsidR="00DC6096" w:rsidRDefault="00DC6096" w:rsidP="001428D4">
            <w:pPr>
              <w:rPr>
                <w:lang w:val="en-US"/>
              </w:rPr>
            </w:pPr>
            <w:r>
              <w:rPr>
                <w:lang w:val="en-US"/>
              </w:rPr>
              <w:t>FIN4515 30 credits</w:t>
            </w:r>
          </w:p>
          <w:p w:rsidR="00DC6096" w:rsidRDefault="00DC6096" w:rsidP="001428D4">
            <w:pPr>
              <w:rPr>
                <w:lang w:val="en-US"/>
              </w:rPr>
            </w:pPr>
            <w:r>
              <w:rPr>
                <w:lang w:val="en-US"/>
              </w:rPr>
              <w:t>FIN4530 15 credits</w:t>
            </w:r>
          </w:p>
          <w:p w:rsidR="00DC6096" w:rsidRDefault="00DC6096" w:rsidP="001428D4">
            <w:pPr>
              <w:rPr>
                <w:lang w:val="en-US"/>
              </w:rPr>
            </w:pPr>
            <w:r>
              <w:rPr>
                <w:lang w:val="en-US"/>
              </w:rPr>
              <w:t>FIN4550 15 credits</w:t>
            </w:r>
          </w:p>
          <w:p w:rsidR="00DC6096" w:rsidRPr="00D924A2" w:rsidRDefault="00DC6096" w:rsidP="001428D4">
            <w:pPr>
              <w:rPr>
                <w:lang w:val="en-US"/>
              </w:rPr>
            </w:pPr>
          </w:p>
        </w:tc>
        <w:tc>
          <w:tcPr>
            <w:tcW w:w="1857" w:type="pct"/>
            <w:vMerge w:val="restart"/>
            <w:vAlign w:val="center"/>
          </w:tcPr>
          <w:p w:rsidR="00DC6096" w:rsidRPr="00997987" w:rsidRDefault="00DC6096" w:rsidP="001428D4">
            <w:pPr>
              <w:pStyle w:val="BodyText3"/>
              <w:rPr>
                <w:sz w:val="20"/>
              </w:rPr>
            </w:pPr>
            <w:r w:rsidRPr="00997987">
              <w:rPr>
                <w:sz w:val="20"/>
              </w:rPr>
              <w:t xml:space="preserve">Students must pass </w:t>
            </w:r>
            <w:r>
              <w:rPr>
                <w:sz w:val="20"/>
              </w:rPr>
              <w:t>120</w:t>
            </w:r>
            <w:r w:rsidRPr="00997987">
              <w:rPr>
                <w:sz w:val="20"/>
              </w:rPr>
              <w:t xml:space="preserve"> credits to progress to </w:t>
            </w:r>
            <w:r>
              <w:rPr>
                <w:sz w:val="20"/>
              </w:rPr>
              <w:t>dissertation</w:t>
            </w:r>
          </w:p>
        </w:tc>
      </w:tr>
      <w:tr w:rsidR="00DC6096" w:rsidRPr="00D924A2" w:rsidTr="001428D4">
        <w:trPr>
          <w:cantSplit/>
          <w:trHeight w:val="1237"/>
        </w:trPr>
        <w:tc>
          <w:tcPr>
            <w:tcW w:w="640" w:type="pct"/>
            <w:tcBorders>
              <w:top w:val="nil"/>
              <w:right w:val="nil"/>
            </w:tcBorders>
          </w:tcPr>
          <w:p w:rsidR="00DC6096" w:rsidRDefault="00DC6096" w:rsidP="001428D4">
            <w:pPr>
              <w:rPr>
                <w:lang w:val="fr-FR"/>
              </w:rPr>
            </w:pPr>
            <w:r>
              <w:rPr>
                <w:lang w:val="fr-FR"/>
              </w:rPr>
              <w:t>FIN</w:t>
            </w:r>
            <w:r w:rsidRPr="00BD129F">
              <w:rPr>
                <w:lang w:val="fr-FR"/>
              </w:rPr>
              <w:t>4</w:t>
            </w:r>
            <w:r>
              <w:rPr>
                <w:lang w:val="fr-FR"/>
              </w:rPr>
              <w:t>5</w:t>
            </w:r>
            <w:r w:rsidRPr="00BD129F">
              <w:rPr>
                <w:lang w:val="fr-FR"/>
              </w:rPr>
              <w:t>10</w:t>
            </w:r>
          </w:p>
          <w:p w:rsidR="00DC6096" w:rsidRDefault="00DC6096" w:rsidP="001428D4">
            <w:pPr>
              <w:rPr>
                <w:lang w:val="fr-FR"/>
              </w:rPr>
            </w:pPr>
            <w:r>
              <w:rPr>
                <w:lang w:val="fr-FR"/>
              </w:rPr>
              <w:t>FIN4570 FIN4430</w:t>
            </w:r>
          </w:p>
          <w:p w:rsidR="00DC6096" w:rsidRDefault="00DC6096" w:rsidP="001428D4">
            <w:pPr>
              <w:rPr>
                <w:lang w:val="fr-FR"/>
              </w:rPr>
            </w:pPr>
            <w:r>
              <w:rPr>
                <w:lang w:val="fr-FR"/>
              </w:rPr>
              <w:t>FIN4540</w:t>
            </w:r>
          </w:p>
          <w:p w:rsidR="00DC6096" w:rsidRPr="00370CE5" w:rsidRDefault="00DC6096" w:rsidP="001428D4">
            <w:pPr>
              <w:rPr>
                <w:lang w:val="fr-FR"/>
              </w:rPr>
            </w:pPr>
            <w:r>
              <w:rPr>
                <w:lang w:val="fr-FR"/>
              </w:rPr>
              <w:t>FIN4560</w:t>
            </w:r>
          </w:p>
        </w:tc>
        <w:tc>
          <w:tcPr>
            <w:tcW w:w="790" w:type="pct"/>
            <w:tcBorders>
              <w:top w:val="nil"/>
              <w:left w:val="nil"/>
            </w:tcBorders>
          </w:tcPr>
          <w:p w:rsidR="00DC6096" w:rsidRPr="00370CE5" w:rsidRDefault="00DC6096" w:rsidP="001428D4">
            <w:r w:rsidRPr="00370CE5">
              <w:t>30 credits</w:t>
            </w:r>
          </w:p>
          <w:p w:rsidR="00DC6096" w:rsidRPr="00370CE5" w:rsidRDefault="00DC6096" w:rsidP="001428D4">
            <w:r w:rsidRPr="00370CE5">
              <w:t>30 credits</w:t>
            </w:r>
          </w:p>
          <w:p w:rsidR="00DC6096" w:rsidRDefault="00DC6096" w:rsidP="001428D4">
            <w:pPr>
              <w:rPr>
                <w:lang w:val="fr-FR"/>
              </w:rPr>
            </w:pPr>
            <w:r>
              <w:rPr>
                <w:lang w:val="fr-FR"/>
              </w:rPr>
              <w:t>60 credits</w:t>
            </w:r>
          </w:p>
          <w:p w:rsidR="00DC6096" w:rsidRDefault="00DC6096" w:rsidP="001428D4">
            <w:pPr>
              <w:rPr>
                <w:lang w:val="fr-FR"/>
              </w:rPr>
            </w:pPr>
            <w:r>
              <w:rPr>
                <w:lang w:val="fr-FR"/>
              </w:rPr>
              <w:t>15 credits</w:t>
            </w:r>
          </w:p>
          <w:p w:rsidR="00DC6096" w:rsidRPr="00515A79" w:rsidRDefault="00DC6096" w:rsidP="001428D4">
            <w:pPr>
              <w:rPr>
                <w:lang w:val="fr-FR"/>
              </w:rPr>
            </w:pPr>
            <w:r>
              <w:rPr>
                <w:lang w:val="fr-FR"/>
              </w:rPr>
              <w:t>15 credits</w:t>
            </w:r>
          </w:p>
        </w:tc>
        <w:tc>
          <w:tcPr>
            <w:tcW w:w="1713" w:type="pct"/>
            <w:vMerge/>
          </w:tcPr>
          <w:p w:rsidR="00DC6096" w:rsidRDefault="00DC6096" w:rsidP="001428D4">
            <w:pPr>
              <w:rPr>
                <w:lang w:val="en-US"/>
              </w:rPr>
            </w:pPr>
          </w:p>
        </w:tc>
        <w:tc>
          <w:tcPr>
            <w:tcW w:w="1857" w:type="pct"/>
            <w:vMerge/>
            <w:vAlign w:val="center"/>
          </w:tcPr>
          <w:p w:rsidR="00DC6096" w:rsidRPr="00997987" w:rsidRDefault="00DC6096" w:rsidP="001428D4">
            <w:pPr>
              <w:pStyle w:val="BodyText3"/>
              <w:rPr>
                <w:sz w:val="20"/>
              </w:rPr>
            </w:pPr>
          </w:p>
        </w:tc>
      </w:tr>
    </w:tbl>
    <w:p w:rsidR="00DC6096" w:rsidRDefault="00DC6096" w:rsidP="00DC6096"/>
    <w:tbl>
      <w:tblPr>
        <w:tblW w:w="5049" w:type="pct"/>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86"/>
        <w:gridCol w:w="5959"/>
      </w:tblGrid>
      <w:tr w:rsidR="00DC6096" w:rsidRPr="00D924A2" w:rsidTr="001428D4">
        <w:trPr>
          <w:cantSplit/>
        </w:trPr>
        <w:tc>
          <w:tcPr>
            <w:tcW w:w="5000" w:type="pct"/>
            <w:gridSpan w:val="2"/>
            <w:tcBorders>
              <w:bottom w:val="single" w:sz="6" w:space="0" w:color="000000"/>
            </w:tcBorders>
            <w:shd w:val="clear" w:color="auto" w:fill="D9D9D9"/>
          </w:tcPr>
          <w:p w:rsidR="00DC6096" w:rsidRPr="00D924A2" w:rsidRDefault="00DC6096" w:rsidP="001428D4">
            <w:pPr>
              <w:pStyle w:val="Heading2"/>
            </w:pPr>
            <w:bookmarkStart w:id="22" w:name="_Toc393807118"/>
            <w:r w:rsidRPr="00D924A2">
              <w:t xml:space="preserve">12.3 Non-compensatable modules </w:t>
            </w:r>
            <w:r w:rsidRPr="00124883">
              <w:rPr>
                <w:b w:val="0"/>
              </w:rPr>
              <w:t>(note statement in 12.2 regarding FHEQ levels)</w:t>
            </w:r>
            <w:bookmarkEnd w:id="22"/>
          </w:p>
        </w:tc>
      </w:tr>
      <w:tr w:rsidR="00DC6096" w:rsidRPr="00D924A2" w:rsidTr="001428D4">
        <w:trPr>
          <w:cantSplit/>
          <w:trHeight w:val="265"/>
        </w:trPr>
        <w:tc>
          <w:tcPr>
            <w:tcW w:w="710" w:type="pct"/>
            <w:shd w:val="clear" w:color="auto" w:fill="D9D9D9"/>
          </w:tcPr>
          <w:p w:rsidR="00DC6096" w:rsidRPr="00D924A2" w:rsidRDefault="00DC6096" w:rsidP="001428D4">
            <w:pPr>
              <w:pStyle w:val="Heading2"/>
            </w:pPr>
            <w:bookmarkStart w:id="23" w:name="_Toc393807119"/>
            <w:r w:rsidRPr="00D924A2">
              <w:t>Module level</w:t>
            </w:r>
            <w:bookmarkEnd w:id="23"/>
          </w:p>
        </w:tc>
        <w:tc>
          <w:tcPr>
            <w:tcW w:w="4290" w:type="pct"/>
            <w:shd w:val="clear" w:color="auto" w:fill="D9D9D9"/>
          </w:tcPr>
          <w:p w:rsidR="00DC6096" w:rsidRPr="00D924A2" w:rsidRDefault="00DC6096" w:rsidP="001428D4">
            <w:pPr>
              <w:pStyle w:val="Heading2"/>
            </w:pPr>
            <w:bookmarkStart w:id="24" w:name="_Toc393807120"/>
            <w:r w:rsidRPr="00D924A2">
              <w:t>Module code</w:t>
            </w:r>
            <w:bookmarkEnd w:id="24"/>
          </w:p>
        </w:tc>
      </w:tr>
      <w:tr w:rsidR="00DC6096" w:rsidRPr="00D924A2" w:rsidTr="001428D4">
        <w:trPr>
          <w:cantSplit/>
          <w:trHeight w:val="265"/>
        </w:trPr>
        <w:tc>
          <w:tcPr>
            <w:tcW w:w="710" w:type="pct"/>
            <w:tcBorders>
              <w:bottom w:val="single" w:sz="6" w:space="0" w:color="000000"/>
            </w:tcBorders>
          </w:tcPr>
          <w:p w:rsidR="00DC6096" w:rsidRPr="00D924A2" w:rsidRDefault="00DC6096" w:rsidP="001428D4">
            <w:pPr>
              <w:pStyle w:val="BodyText"/>
            </w:pPr>
          </w:p>
        </w:tc>
        <w:tc>
          <w:tcPr>
            <w:tcW w:w="4290" w:type="pct"/>
            <w:tcBorders>
              <w:bottom w:val="single" w:sz="6" w:space="0" w:color="000000"/>
            </w:tcBorders>
          </w:tcPr>
          <w:p w:rsidR="00DC6096" w:rsidRPr="00D924A2" w:rsidRDefault="00DC6096" w:rsidP="001428D4">
            <w:pPr>
              <w:pStyle w:val="BodyText"/>
            </w:pPr>
            <w:r>
              <w:t>None</w:t>
            </w:r>
          </w:p>
        </w:tc>
      </w:tr>
    </w:tbl>
    <w:p w:rsidR="00DC6096" w:rsidRDefault="00DC6096" w:rsidP="00DC6096"/>
    <w:tbl>
      <w:tblPr>
        <w:tblW w:w="5049"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45"/>
      </w:tblGrid>
      <w:tr w:rsidR="00DC6096" w:rsidRPr="00D924A2" w:rsidTr="001428D4">
        <w:tc>
          <w:tcPr>
            <w:tcW w:w="5000" w:type="pct"/>
            <w:tcBorders>
              <w:bottom w:val="nil"/>
            </w:tcBorders>
            <w:shd w:val="pct12" w:color="auto" w:fill="FFFFFF"/>
          </w:tcPr>
          <w:p w:rsidR="00DC6096" w:rsidRPr="00D924A2" w:rsidRDefault="00DC6096" w:rsidP="001428D4">
            <w:pPr>
              <w:pStyle w:val="Heading2"/>
            </w:pPr>
            <w:bookmarkStart w:id="25" w:name="_Toc393807121"/>
            <w:r w:rsidRPr="00D924A2">
              <w:t>13. Curriculum map</w:t>
            </w:r>
            <w:bookmarkEnd w:id="25"/>
            <w:r w:rsidRPr="00D924A2">
              <w:t xml:space="preserve"> </w:t>
            </w:r>
          </w:p>
        </w:tc>
      </w:tr>
    </w:tbl>
    <w:p w:rsidR="00DC6096" w:rsidRDefault="00DC6096" w:rsidP="00DC6096"/>
    <w:tbl>
      <w:tblPr>
        <w:tblW w:w="5049"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3"/>
        <w:gridCol w:w="3932"/>
      </w:tblGrid>
      <w:tr w:rsidR="00DC6096" w:rsidTr="001428D4">
        <w:trPr>
          <w:trHeight w:val="567"/>
        </w:trPr>
        <w:tc>
          <w:tcPr>
            <w:tcW w:w="5000" w:type="pct"/>
            <w:gridSpan w:val="2"/>
            <w:tcBorders>
              <w:top w:val="single" w:sz="4" w:space="0" w:color="000000"/>
              <w:left w:val="nil"/>
              <w:bottom w:val="single" w:sz="4" w:space="0" w:color="auto"/>
              <w:right w:val="nil"/>
            </w:tcBorders>
            <w:hideMark/>
          </w:tcPr>
          <w:p w:rsidR="00DC6096" w:rsidRPr="00546C4E" w:rsidRDefault="00DC6096" w:rsidP="001428D4">
            <w:pPr>
              <w:pStyle w:val="ListParagraph"/>
              <w:spacing w:before="120" w:after="240"/>
              <w:ind w:left="0"/>
              <w:rPr>
                <w:b/>
              </w:rPr>
            </w:pPr>
            <w:r w:rsidRPr="00546C4E">
              <w:rPr>
                <w:b/>
              </w:rPr>
              <w:t xml:space="preserve">MSc Banking &amp; Finance </w:t>
            </w:r>
          </w:p>
        </w:tc>
      </w:tr>
      <w:tr w:rsidR="00DC6096" w:rsidTr="001428D4">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C6096" w:rsidRDefault="00DC6096" w:rsidP="001428D4">
            <w:pPr>
              <w:pStyle w:val="ListParagraph"/>
              <w:ind w:left="0"/>
              <w:jc w:val="center"/>
            </w:pPr>
            <w:r>
              <w:lastRenderedPageBreak/>
              <w:t>FIN4510 Banking &amp; Financial Institutions (30)</w:t>
            </w:r>
          </w:p>
        </w:tc>
      </w:tr>
      <w:tr w:rsidR="00DC6096" w:rsidTr="001428D4">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DC6096" w:rsidRDefault="00DC6096" w:rsidP="001428D4">
            <w:pPr>
              <w:pStyle w:val="ListParagraph"/>
              <w:ind w:left="0"/>
              <w:jc w:val="center"/>
            </w:pPr>
            <w:r>
              <w:t>FIN4570 Financial Econometrics (30)</w:t>
            </w:r>
          </w:p>
        </w:tc>
      </w:tr>
      <w:tr w:rsidR="00DC6096" w:rsidTr="001428D4">
        <w:trPr>
          <w:trHeight w:val="624"/>
        </w:trPr>
        <w:tc>
          <w:tcPr>
            <w:tcW w:w="2169" w:type="pct"/>
            <w:tcBorders>
              <w:top w:val="single" w:sz="4" w:space="0" w:color="auto"/>
              <w:left w:val="single" w:sz="4" w:space="0" w:color="000000"/>
              <w:bottom w:val="single" w:sz="4" w:space="0" w:color="000000"/>
              <w:right w:val="single" w:sz="4" w:space="0" w:color="000000"/>
            </w:tcBorders>
            <w:vAlign w:val="center"/>
            <w:hideMark/>
          </w:tcPr>
          <w:p w:rsidR="00DC6096" w:rsidRDefault="00DC6096" w:rsidP="001428D4">
            <w:pPr>
              <w:pStyle w:val="ListParagraph"/>
              <w:ind w:left="0"/>
              <w:jc w:val="center"/>
            </w:pPr>
            <w:r>
              <w:t>FIN4540 Financial Risk Management (15)</w:t>
            </w:r>
          </w:p>
          <w:p w:rsidR="00DC6096" w:rsidRDefault="00DC6096" w:rsidP="001428D4">
            <w:pPr>
              <w:pStyle w:val="ListParagraph"/>
              <w:ind w:left="0"/>
              <w:jc w:val="center"/>
            </w:pPr>
          </w:p>
          <w:p w:rsidR="00DC6096" w:rsidRDefault="00DC6096" w:rsidP="001428D4">
            <w:pPr>
              <w:pStyle w:val="ListParagraph"/>
              <w:ind w:left="0"/>
              <w:jc w:val="center"/>
            </w:pPr>
          </w:p>
        </w:tc>
        <w:tc>
          <w:tcPr>
            <w:tcW w:w="2831" w:type="pct"/>
            <w:tcBorders>
              <w:top w:val="single" w:sz="4" w:space="0" w:color="auto"/>
              <w:left w:val="single" w:sz="4" w:space="0" w:color="000000"/>
              <w:bottom w:val="single" w:sz="4" w:space="0" w:color="000000"/>
              <w:right w:val="single" w:sz="4" w:space="0" w:color="000000"/>
            </w:tcBorders>
            <w:vAlign w:val="center"/>
            <w:hideMark/>
          </w:tcPr>
          <w:p w:rsidR="00DC6096" w:rsidRDefault="00DC6096" w:rsidP="001428D4">
            <w:pPr>
              <w:pStyle w:val="ListParagraph"/>
              <w:ind w:left="0"/>
              <w:jc w:val="center"/>
            </w:pPr>
            <w:r>
              <w:t>FIN4560 Financial Markets and Derivatives(15)</w:t>
            </w:r>
          </w:p>
          <w:p w:rsidR="00DC6096" w:rsidRDefault="00DC6096" w:rsidP="001428D4">
            <w:pPr>
              <w:pStyle w:val="ListParagraph"/>
              <w:ind w:left="0"/>
              <w:jc w:val="center"/>
            </w:pPr>
          </w:p>
          <w:p w:rsidR="00DC6096" w:rsidRDefault="00DC6096" w:rsidP="001428D4">
            <w:pPr>
              <w:pStyle w:val="ListParagraph"/>
              <w:ind w:left="0"/>
              <w:jc w:val="center"/>
            </w:pPr>
          </w:p>
        </w:tc>
      </w:tr>
      <w:tr w:rsidR="00DC6096" w:rsidTr="001428D4">
        <w:trPr>
          <w:trHeight w:val="624"/>
        </w:trPr>
        <w:tc>
          <w:tcPr>
            <w:tcW w:w="5000" w:type="pct"/>
            <w:gridSpan w:val="2"/>
            <w:tcBorders>
              <w:top w:val="nil"/>
              <w:left w:val="single" w:sz="4" w:space="0" w:color="000000"/>
              <w:bottom w:val="single" w:sz="4" w:space="0" w:color="000000"/>
              <w:right w:val="single" w:sz="4" w:space="0" w:color="000000"/>
            </w:tcBorders>
            <w:vAlign w:val="center"/>
            <w:hideMark/>
          </w:tcPr>
          <w:p w:rsidR="00DC6096" w:rsidRDefault="00DC6096" w:rsidP="001428D4">
            <w:pPr>
              <w:pStyle w:val="ListParagraph"/>
              <w:ind w:left="0"/>
              <w:jc w:val="center"/>
            </w:pPr>
            <w:r>
              <w:t>FIN4530 International Financial Regulation (15)   FIN4550 Applied Corporate Finance (15)</w:t>
            </w:r>
          </w:p>
          <w:p w:rsidR="00DC6096" w:rsidRDefault="00DC6096" w:rsidP="001428D4">
            <w:pPr>
              <w:pStyle w:val="ListParagraph"/>
              <w:ind w:left="0"/>
              <w:jc w:val="center"/>
            </w:pPr>
          </w:p>
          <w:p w:rsidR="00DC6096" w:rsidRDefault="00DC6096" w:rsidP="001428D4">
            <w:pPr>
              <w:pStyle w:val="ListParagraph"/>
              <w:ind w:left="0"/>
              <w:jc w:val="center"/>
            </w:pPr>
            <w:r>
              <w:t>Or</w:t>
            </w:r>
          </w:p>
          <w:p w:rsidR="00DC6096" w:rsidRDefault="00DC6096" w:rsidP="001428D4">
            <w:pPr>
              <w:pStyle w:val="ListParagraph"/>
              <w:ind w:left="0"/>
              <w:jc w:val="center"/>
            </w:pPr>
          </w:p>
          <w:p w:rsidR="00DC6096" w:rsidRDefault="00DC6096" w:rsidP="001428D4">
            <w:pPr>
              <w:pStyle w:val="ListParagraph"/>
              <w:ind w:left="0"/>
              <w:jc w:val="center"/>
            </w:pPr>
            <w:r>
              <w:t>FIN4515 Islamic Finance and Banking (30)</w:t>
            </w:r>
          </w:p>
        </w:tc>
      </w:tr>
      <w:tr w:rsidR="00DC6096" w:rsidTr="001428D4">
        <w:trPr>
          <w:trHeight w:val="624"/>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DC6096" w:rsidRDefault="00DC6096" w:rsidP="001428D4">
            <w:pPr>
              <w:pStyle w:val="ListParagraph"/>
              <w:ind w:left="0"/>
              <w:jc w:val="center"/>
            </w:pPr>
            <w:r>
              <w:t>FIN4430 Dissertation (60)</w:t>
            </w:r>
          </w:p>
        </w:tc>
      </w:tr>
    </w:tbl>
    <w:p w:rsidR="00DC6096" w:rsidRDefault="00DC6096" w:rsidP="00DC6096"/>
    <w:p w:rsidR="00DC6096" w:rsidRDefault="00DC6096" w:rsidP="00DC6096"/>
    <w:tbl>
      <w:tblPr>
        <w:tblW w:w="5049" w:type="pct"/>
        <w:tblInd w:w="-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9"/>
        <w:gridCol w:w="3906"/>
      </w:tblGrid>
      <w:tr w:rsidR="00DC6096" w:rsidRPr="005B7F23" w:rsidTr="001428D4">
        <w:trPr>
          <w:trHeight w:val="567"/>
        </w:trPr>
        <w:tc>
          <w:tcPr>
            <w:tcW w:w="5000" w:type="pct"/>
            <w:gridSpan w:val="2"/>
            <w:tcBorders>
              <w:bottom w:val="single" w:sz="4" w:space="0" w:color="auto"/>
            </w:tcBorders>
            <w:vAlign w:val="center"/>
          </w:tcPr>
          <w:p w:rsidR="00DC6096" w:rsidRPr="00546C4E" w:rsidRDefault="00DC6096" w:rsidP="001428D4">
            <w:pPr>
              <w:pStyle w:val="ListParagraph"/>
              <w:spacing w:before="120" w:after="240"/>
              <w:ind w:left="0"/>
              <w:rPr>
                <w:b/>
              </w:rPr>
            </w:pPr>
            <w:r w:rsidRPr="00546C4E">
              <w:rPr>
                <w:b/>
              </w:rPr>
              <w:t>Postgraduate Diploma in Banking &amp; Finance</w:t>
            </w:r>
          </w:p>
        </w:tc>
      </w:tr>
      <w:tr w:rsidR="00DC6096" w:rsidTr="001428D4">
        <w:trPr>
          <w:trHeight w:val="510"/>
        </w:trPr>
        <w:tc>
          <w:tcPr>
            <w:tcW w:w="5000" w:type="pct"/>
            <w:gridSpan w:val="2"/>
            <w:tcBorders>
              <w:top w:val="single" w:sz="4" w:space="0" w:color="auto"/>
              <w:left w:val="single" w:sz="4" w:space="0" w:color="auto"/>
              <w:bottom w:val="single" w:sz="4" w:space="0" w:color="auto"/>
              <w:right w:val="single" w:sz="4" w:space="0" w:color="auto"/>
            </w:tcBorders>
            <w:vAlign w:val="center"/>
          </w:tcPr>
          <w:p w:rsidR="00DC6096" w:rsidRPr="002355FA" w:rsidRDefault="00DC6096" w:rsidP="001428D4">
            <w:pPr>
              <w:pStyle w:val="ListParagraph"/>
              <w:ind w:left="0"/>
              <w:jc w:val="center"/>
            </w:pPr>
            <w:r>
              <w:t>FIN4510 Banking &amp; Financial Institutions (30)</w:t>
            </w:r>
          </w:p>
        </w:tc>
      </w:tr>
      <w:tr w:rsidR="00DC6096" w:rsidRPr="002355FA" w:rsidTr="001428D4">
        <w:trPr>
          <w:trHeight w:val="567"/>
        </w:trPr>
        <w:tc>
          <w:tcPr>
            <w:tcW w:w="5000" w:type="pct"/>
            <w:gridSpan w:val="2"/>
            <w:tcBorders>
              <w:top w:val="single" w:sz="4" w:space="0" w:color="auto"/>
              <w:left w:val="single" w:sz="4" w:space="0" w:color="auto"/>
              <w:bottom w:val="single" w:sz="4" w:space="0" w:color="auto"/>
              <w:right w:val="single" w:sz="4" w:space="0" w:color="auto"/>
            </w:tcBorders>
            <w:vAlign w:val="center"/>
          </w:tcPr>
          <w:p w:rsidR="00DC6096" w:rsidRPr="00B14B49" w:rsidRDefault="00DC6096" w:rsidP="001428D4">
            <w:pPr>
              <w:pStyle w:val="ListParagraph"/>
              <w:ind w:left="0"/>
              <w:jc w:val="center"/>
            </w:pPr>
            <w:r>
              <w:t>FIN4570 Financial Econometrics (30)</w:t>
            </w:r>
          </w:p>
        </w:tc>
      </w:tr>
      <w:tr w:rsidR="00DC6096" w:rsidTr="001428D4">
        <w:trPr>
          <w:trHeight w:val="624"/>
        </w:trPr>
        <w:tc>
          <w:tcPr>
            <w:tcW w:w="2188" w:type="pct"/>
            <w:tcBorders>
              <w:top w:val="single" w:sz="4" w:space="0" w:color="auto"/>
              <w:left w:val="single" w:sz="4" w:space="0" w:color="000000"/>
              <w:bottom w:val="single" w:sz="4" w:space="0" w:color="000000"/>
              <w:right w:val="single" w:sz="4" w:space="0" w:color="000000"/>
            </w:tcBorders>
            <w:vAlign w:val="center"/>
            <w:hideMark/>
          </w:tcPr>
          <w:p w:rsidR="00DC6096" w:rsidRDefault="00DC6096" w:rsidP="001428D4">
            <w:pPr>
              <w:pStyle w:val="ListParagraph"/>
              <w:ind w:left="0"/>
              <w:jc w:val="center"/>
            </w:pPr>
            <w:r>
              <w:t>FIN4540 Financial Risk Management (15)</w:t>
            </w:r>
          </w:p>
          <w:p w:rsidR="00DC6096" w:rsidRDefault="00DC6096" w:rsidP="001428D4">
            <w:pPr>
              <w:pStyle w:val="ListParagraph"/>
              <w:ind w:left="0"/>
              <w:jc w:val="center"/>
            </w:pPr>
          </w:p>
        </w:tc>
        <w:tc>
          <w:tcPr>
            <w:tcW w:w="2812" w:type="pct"/>
            <w:tcBorders>
              <w:top w:val="single" w:sz="4" w:space="0" w:color="auto"/>
              <w:left w:val="single" w:sz="4" w:space="0" w:color="000000"/>
              <w:bottom w:val="single" w:sz="4" w:space="0" w:color="000000"/>
              <w:right w:val="single" w:sz="4" w:space="0" w:color="000000"/>
            </w:tcBorders>
            <w:vAlign w:val="center"/>
            <w:hideMark/>
          </w:tcPr>
          <w:p w:rsidR="00DC6096" w:rsidRDefault="00DC6096" w:rsidP="001428D4">
            <w:pPr>
              <w:pStyle w:val="ListParagraph"/>
              <w:ind w:left="0"/>
              <w:jc w:val="center"/>
            </w:pPr>
          </w:p>
          <w:p w:rsidR="00DC6096" w:rsidRDefault="00DC6096" w:rsidP="001428D4">
            <w:pPr>
              <w:pStyle w:val="ListParagraph"/>
              <w:ind w:left="0"/>
              <w:jc w:val="center"/>
            </w:pPr>
            <w:r>
              <w:t>FIN4560 Financial Markets and Derivatives(15)</w:t>
            </w:r>
          </w:p>
          <w:p w:rsidR="00DC6096" w:rsidRDefault="00DC6096" w:rsidP="001428D4">
            <w:pPr>
              <w:pStyle w:val="ListParagraph"/>
              <w:ind w:left="0"/>
              <w:jc w:val="center"/>
            </w:pPr>
          </w:p>
          <w:p w:rsidR="00DC6096" w:rsidRDefault="00DC6096" w:rsidP="001428D4">
            <w:pPr>
              <w:pStyle w:val="ListParagraph"/>
              <w:ind w:left="0"/>
              <w:jc w:val="center"/>
            </w:pPr>
          </w:p>
        </w:tc>
      </w:tr>
      <w:tr w:rsidR="00DC6096" w:rsidTr="001428D4">
        <w:trPr>
          <w:trHeight w:val="624"/>
        </w:trPr>
        <w:tc>
          <w:tcPr>
            <w:tcW w:w="5000" w:type="pct"/>
            <w:gridSpan w:val="2"/>
            <w:tcBorders>
              <w:top w:val="nil"/>
              <w:left w:val="single" w:sz="4" w:space="0" w:color="000000"/>
              <w:bottom w:val="single" w:sz="4" w:space="0" w:color="000000"/>
              <w:right w:val="single" w:sz="4" w:space="0" w:color="000000"/>
            </w:tcBorders>
            <w:vAlign w:val="center"/>
            <w:hideMark/>
          </w:tcPr>
          <w:p w:rsidR="00DC6096" w:rsidRDefault="00DC6096" w:rsidP="001428D4">
            <w:pPr>
              <w:pStyle w:val="ListParagraph"/>
              <w:ind w:left="0"/>
              <w:jc w:val="center"/>
            </w:pPr>
            <w:r>
              <w:t>FIN4530 International Risk Regulation (15)      FIN4550 Applied Corporate Finance (15)</w:t>
            </w:r>
          </w:p>
          <w:p w:rsidR="00DC6096" w:rsidRDefault="00DC6096" w:rsidP="001428D4">
            <w:pPr>
              <w:pStyle w:val="ListParagraph"/>
              <w:ind w:left="0"/>
              <w:jc w:val="center"/>
            </w:pPr>
          </w:p>
          <w:p w:rsidR="00DC6096" w:rsidRDefault="00DC6096" w:rsidP="001428D4">
            <w:pPr>
              <w:pStyle w:val="ListParagraph"/>
              <w:ind w:left="0"/>
              <w:jc w:val="center"/>
            </w:pPr>
            <w:r>
              <w:t>Or</w:t>
            </w:r>
          </w:p>
          <w:p w:rsidR="00DC6096" w:rsidRDefault="00DC6096" w:rsidP="001428D4">
            <w:pPr>
              <w:pStyle w:val="ListParagraph"/>
              <w:ind w:left="0"/>
              <w:jc w:val="center"/>
            </w:pPr>
          </w:p>
          <w:p w:rsidR="00DC6096" w:rsidRDefault="00DC6096" w:rsidP="001428D4">
            <w:pPr>
              <w:pStyle w:val="ListParagraph"/>
              <w:ind w:left="0"/>
              <w:jc w:val="center"/>
            </w:pPr>
            <w:r>
              <w:t>FIN4515 Islamic Finance and Banking (30)</w:t>
            </w:r>
          </w:p>
        </w:tc>
      </w:tr>
      <w:tr w:rsidR="00DC6096" w:rsidRPr="002355FA" w:rsidTr="001428D4">
        <w:trPr>
          <w:trHeight w:val="624"/>
        </w:trPr>
        <w:tc>
          <w:tcPr>
            <w:tcW w:w="5000" w:type="pct"/>
            <w:gridSpan w:val="2"/>
            <w:tcBorders>
              <w:top w:val="single" w:sz="4" w:space="0" w:color="auto"/>
            </w:tcBorders>
            <w:vAlign w:val="center"/>
          </w:tcPr>
          <w:p w:rsidR="00DC6096" w:rsidRDefault="00DC6096" w:rsidP="001428D4">
            <w:pPr>
              <w:pStyle w:val="ListParagraph"/>
              <w:ind w:left="0"/>
              <w:jc w:val="center"/>
            </w:pPr>
            <w:r w:rsidRPr="00546C4E">
              <w:rPr>
                <w:b/>
              </w:rPr>
              <w:t>Postgraduate Certificate in Banking &amp; Finance</w:t>
            </w:r>
          </w:p>
        </w:tc>
      </w:tr>
      <w:tr w:rsidR="00DC6096" w:rsidRPr="005D3BA9" w:rsidTr="001428D4">
        <w:trPr>
          <w:trHeight w:val="624"/>
        </w:trPr>
        <w:tc>
          <w:tcPr>
            <w:tcW w:w="5000" w:type="pct"/>
            <w:gridSpan w:val="2"/>
            <w:vAlign w:val="center"/>
          </w:tcPr>
          <w:p w:rsidR="00DC6096" w:rsidRDefault="00DC6096" w:rsidP="001428D4">
            <w:pPr>
              <w:pStyle w:val="ListParagraph"/>
              <w:ind w:left="0"/>
              <w:jc w:val="center"/>
            </w:pPr>
            <w:r>
              <w:lastRenderedPageBreak/>
              <w:t>FIN4510 Banking &amp; Financial Institutions (30)</w:t>
            </w:r>
          </w:p>
        </w:tc>
      </w:tr>
      <w:tr w:rsidR="00DC6096" w:rsidTr="001428D4">
        <w:trPr>
          <w:trHeight w:val="510"/>
        </w:trPr>
        <w:tc>
          <w:tcPr>
            <w:tcW w:w="5000" w:type="pct"/>
            <w:gridSpan w:val="2"/>
            <w:tcBorders>
              <w:top w:val="single" w:sz="4" w:space="0" w:color="auto"/>
              <w:left w:val="single" w:sz="4" w:space="0" w:color="auto"/>
              <w:bottom w:val="single" w:sz="4" w:space="0" w:color="000000"/>
              <w:right w:val="single" w:sz="4" w:space="0" w:color="auto"/>
            </w:tcBorders>
            <w:vAlign w:val="center"/>
          </w:tcPr>
          <w:p w:rsidR="00DC6096" w:rsidRPr="00B14B49" w:rsidRDefault="00DC6096" w:rsidP="001428D4">
            <w:pPr>
              <w:pStyle w:val="ListParagraph"/>
              <w:ind w:left="0"/>
              <w:jc w:val="center"/>
            </w:pPr>
            <w:r>
              <w:t>FIN4570 Financial Econometrics (30)</w:t>
            </w:r>
          </w:p>
        </w:tc>
      </w:tr>
    </w:tbl>
    <w:p w:rsidR="00DC6096" w:rsidRDefault="00DC6096" w:rsidP="00DC6096"/>
    <w:p w:rsidR="00DC6096" w:rsidRDefault="00DC6096" w:rsidP="00DC6096"/>
    <w:tbl>
      <w:tblPr>
        <w:tblW w:w="5049" w:type="pct"/>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45"/>
      </w:tblGrid>
      <w:tr w:rsidR="00DC6096" w:rsidRPr="00D924A2" w:rsidTr="001428D4">
        <w:tc>
          <w:tcPr>
            <w:tcW w:w="5000" w:type="pct"/>
            <w:tcBorders>
              <w:bottom w:val="nil"/>
            </w:tcBorders>
            <w:shd w:val="pct12" w:color="auto" w:fill="FFFFFF"/>
          </w:tcPr>
          <w:p w:rsidR="00DC6096" w:rsidRPr="00D924A2" w:rsidRDefault="00DC6096" w:rsidP="001428D4">
            <w:pPr>
              <w:pStyle w:val="Heading2"/>
            </w:pPr>
            <w:bookmarkStart w:id="26" w:name="_Toc393807122"/>
            <w:r w:rsidRPr="00D924A2">
              <w:t>14. Information about assessment regulations</w:t>
            </w:r>
            <w:bookmarkEnd w:id="26"/>
          </w:p>
        </w:tc>
      </w:tr>
      <w:tr w:rsidR="00DC6096" w:rsidRPr="00D924A2" w:rsidTr="001428D4">
        <w:tc>
          <w:tcPr>
            <w:tcW w:w="5000" w:type="pct"/>
            <w:tcBorders>
              <w:top w:val="nil"/>
            </w:tcBorders>
          </w:tcPr>
          <w:p w:rsidR="00DC6096" w:rsidRPr="00D924A2" w:rsidRDefault="00DC6096" w:rsidP="001428D4">
            <w:pPr>
              <w:snapToGrid w:val="0"/>
            </w:pPr>
            <w:r w:rsidRPr="002D3888">
              <w:t>Middlesex University Assessment Regulations apply to this programme, without exception.</w:t>
            </w:r>
          </w:p>
        </w:tc>
      </w:tr>
    </w:tbl>
    <w:p w:rsidR="00DC6096" w:rsidRPr="00D924A2" w:rsidRDefault="00DC6096" w:rsidP="00DC6096"/>
    <w:tbl>
      <w:tblPr>
        <w:tblW w:w="5049" w:type="pct"/>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45"/>
      </w:tblGrid>
      <w:tr w:rsidR="00DC6096" w:rsidRPr="00D924A2" w:rsidTr="001428D4">
        <w:tc>
          <w:tcPr>
            <w:tcW w:w="5000" w:type="pct"/>
            <w:tcBorders>
              <w:bottom w:val="nil"/>
            </w:tcBorders>
            <w:shd w:val="pct12" w:color="auto" w:fill="FFFFFF"/>
          </w:tcPr>
          <w:p w:rsidR="00DC6096" w:rsidRPr="00D924A2" w:rsidRDefault="00DC6096" w:rsidP="001428D4">
            <w:pPr>
              <w:pStyle w:val="Heading2"/>
            </w:pPr>
            <w:bookmarkStart w:id="27" w:name="_Toc393807123"/>
            <w:r w:rsidRPr="00D924A2">
              <w:t>15. Placement opportunities, requirements and support (if applicable)</w:t>
            </w:r>
            <w:bookmarkEnd w:id="27"/>
          </w:p>
        </w:tc>
      </w:tr>
      <w:tr w:rsidR="00DC6096" w:rsidRPr="00D924A2" w:rsidTr="001428D4">
        <w:tc>
          <w:tcPr>
            <w:tcW w:w="5000" w:type="pct"/>
            <w:tcBorders>
              <w:top w:val="nil"/>
            </w:tcBorders>
          </w:tcPr>
          <w:p w:rsidR="00DC6096" w:rsidRPr="00D924A2" w:rsidRDefault="00DC6096" w:rsidP="001428D4">
            <w:pPr>
              <w:snapToGrid w:val="0"/>
            </w:pPr>
            <w:r>
              <w:t>N/A</w:t>
            </w:r>
          </w:p>
        </w:tc>
      </w:tr>
    </w:tbl>
    <w:p w:rsidR="00DC6096" w:rsidRPr="00D924A2" w:rsidRDefault="00DC6096" w:rsidP="00DC6096"/>
    <w:tbl>
      <w:tblPr>
        <w:tblW w:w="5049"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45"/>
      </w:tblGrid>
      <w:tr w:rsidR="00DC6096" w:rsidRPr="00D924A2" w:rsidTr="001428D4">
        <w:tc>
          <w:tcPr>
            <w:tcW w:w="5000" w:type="pct"/>
            <w:tcBorders>
              <w:bottom w:val="nil"/>
            </w:tcBorders>
            <w:shd w:val="pct12" w:color="auto" w:fill="FFFFFF"/>
          </w:tcPr>
          <w:p w:rsidR="00DC6096" w:rsidRPr="00D924A2" w:rsidRDefault="00DC6096" w:rsidP="001428D4">
            <w:pPr>
              <w:pStyle w:val="Heading2"/>
            </w:pPr>
            <w:bookmarkStart w:id="28" w:name="_Toc393807124"/>
            <w:r w:rsidRPr="00D924A2">
              <w:t xml:space="preserve">16. Future careers </w:t>
            </w:r>
            <w:bookmarkEnd w:id="28"/>
          </w:p>
        </w:tc>
      </w:tr>
      <w:tr w:rsidR="00DC6096" w:rsidRPr="00D924A2" w:rsidTr="001428D4">
        <w:tc>
          <w:tcPr>
            <w:tcW w:w="5000" w:type="pct"/>
            <w:tcBorders>
              <w:top w:val="nil"/>
            </w:tcBorders>
          </w:tcPr>
          <w:p w:rsidR="00DC6096" w:rsidRPr="006525F7" w:rsidRDefault="00DC6096" w:rsidP="001428D4">
            <w:r w:rsidRPr="006525F7">
              <w:t xml:space="preserve">The MSc is designed to allow students whose career choices lie in the banking and financial services sector to develop their analytical skills, acquire a body of knowledge, and be exposed to the frontiers of the subject.  </w:t>
            </w:r>
          </w:p>
          <w:p w:rsidR="00DC6096" w:rsidRPr="004C5F31" w:rsidRDefault="00DC6096" w:rsidP="001428D4">
            <w:r w:rsidRPr="006525F7">
              <w:t>Potential careers span a wide range</w:t>
            </w:r>
            <w:r w:rsidRPr="004C5F31">
              <w:t>, including investment banking, corporate banking, financial regulation, investment management, hedge fund management, the equity, bond and foreign currency markets, corporate treasury management, derivatives and risk management</w:t>
            </w:r>
            <w:r>
              <w:t>, or Islamic banking</w:t>
            </w:r>
            <w:r w:rsidRPr="004C5F31">
              <w:t>.</w:t>
            </w:r>
          </w:p>
          <w:p w:rsidR="00DC6096" w:rsidRPr="00D924A2" w:rsidRDefault="00DC6096" w:rsidP="001428D4">
            <w:r w:rsidRPr="004C5F31">
              <w:t xml:space="preserve">Examples of the type of employment students on our programmes have acquired are Risk Analyst for a Greek Bank, Trainee Actuary, Analyst for Citibank in Hong Kong, Bond Analyst in </w:t>
            </w:r>
            <w:r>
              <w:t xml:space="preserve">a </w:t>
            </w:r>
            <w:r w:rsidRPr="004C5F31">
              <w:t xml:space="preserve">Greek Bank, Investment Analyst </w:t>
            </w:r>
            <w:r>
              <w:t xml:space="preserve">at </w:t>
            </w:r>
            <w:r w:rsidRPr="004C5F31">
              <w:t xml:space="preserve">Credit Suisse, Credit Risk Analyst </w:t>
            </w:r>
            <w:r>
              <w:t xml:space="preserve">at </w:t>
            </w:r>
            <w:r w:rsidRPr="004C5F31">
              <w:t>Lehman Brothers, Deri</w:t>
            </w:r>
            <w:r>
              <w:t xml:space="preserve">vatives Trader at EDF Trading, </w:t>
            </w:r>
            <w:r w:rsidRPr="004C5F31">
              <w:t xml:space="preserve">Management Trainee for Standard Chartered Bank, </w:t>
            </w:r>
            <w:r>
              <w:t xml:space="preserve">Fixed Income Analyst in an investment bank, </w:t>
            </w:r>
            <w:r w:rsidRPr="004C5F31">
              <w:t>Assistant Manager in the risk managemen</w:t>
            </w:r>
            <w:r>
              <w:t>t division of an international b</w:t>
            </w:r>
            <w:r w:rsidRPr="004C5F31">
              <w:t>ank</w:t>
            </w:r>
            <w:r>
              <w:t>.</w:t>
            </w:r>
          </w:p>
        </w:tc>
      </w:tr>
    </w:tbl>
    <w:p w:rsidR="00DC6096" w:rsidRDefault="00DC6096" w:rsidP="00DC6096"/>
    <w:tbl>
      <w:tblPr>
        <w:tblW w:w="5049"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45"/>
      </w:tblGrid>
      <w:tr w:rsidR="00DC6096" w:rsidRPr="00D924A2" w:rsidTr="001428D4">
        <w:tc>
          <w:tcPr>
            <w:tcW w:w="5000" w:type="pct"/>
            <w:tcBorders>
              <w:bottom w:val="nil"/>
            </w:tcBorders>
            <w:shd w:val="pct12" w:color="auto" w:fill="FFFFFF"/>
          </w:tcPr>
          <w:p w:rsidR="00DC6096" w:rsidRPr="00D924A2" w:rsidRDefault="00DC6096" w:rsidP="001428D4">
            <w:pPr>
              <w:pStyle w:val="Heading2"/>
            </w:pPr>
            <w:bookmarkStart w:id="29" w:name="_Toc393807125"/>
            <w:r w:rsidRPr="00D924A2">
              <w:t>17. Particular support for learning (if applicable)</w:t>
            </w:r>
            <w:bookmarkEnd w:id="29"/>
          </w:p>
        </w:tc>
      </w:tr>
      <w:tr w:rsidR="00DC6096" w:rsidRPr="00D924A2" w:rsidTr="001428D4">
        <w:tc>
          <w:tcPr>
            <w:tcW w:w="5000" w:type="pct"/>
            <w:tcBorders>
              <w:top w:val="nil"/>
            </w:tcBorders>
          </w:tcPr>
          <w:p w:rsidR="00DC6096" w:rsidRPr="002D3888" w:rsidRDefault="00DC6096" w:rsidP="00DC6096">
            <w:pPr>
              <w:numPr>
                <w:ilvl w:val="0"/>
                <w:numId w:val="6"/>
              </w:numPr>
              <w:suppressAutoHyphens w:val="0"/>
              <w:ind w:left="357" w:hanging="357"/>
            </w:pPr>
            <w:r>
              <w:t>Learner Development Unit</w:t>
            </w:r>
          </w:p>
          <w:p w:rsidR="00DC6096" w:rsidRPr="002D3888" w:rsidRDefault="00DC6096" w:rsidP="00DC6096">
            <w:pPr>
              <w:numPr>
                <w:ilvl w:val="0"/>
                <w:numId w:val="6"/>
              </w:numPr>
              <w:suppressAutoHyphens w:val="0"/>
              <w:ind w:left="357" w:hanging="357"/>
            </w:pPr>
            <w:r w:rsidRPr="002D3888">
              <w:lastRenderedPageBreak/>
              <w:t>Learning Resources</w:t>
            </w:r>
          </w:p>
          <w:p w:rsidR="00DC6096" w:rsidRPr="002D3888" w:rsidRDefault="00DC6096" w:rsidP="00DC6096">
            <w:pPr>
              <w:numPr>
                <w:ilvl w:val="0"/>
                <w:numId w:val="6"/>
              </w:numPr>
              <w:suppressAutoHyphens w:val="0"/>
              <w:ind w:left="357" w:hanging="357"/>
            </w:pPr>
            <w:r w:rsidRPr="002D3888">
              <w:t>Programme Handbook and Module Handbooks</w:t>
            </w:r>
          </w:p>
          <w:p w:rsidR="00DC6096" w:rsidRPr="002D3888" w:rsidRDefault="00DC6096" w:rsidP="00DC6096">
            <w:pPr>
              <w:numPr>
                <w:ilvl w:val="0"/>
                <w:numId w:val="6"/>
              </w:numPr>
              <w:suppressAutoHyphens w:val="0"/>
              <w:ind w:left="357" w:hanging="357"/>
            </w:pPr>
            <w:r w:rsidRPr="002D3888">
              <w:t>Induction and orientation programme</w:t>
            </w:r>
          </w:p>
          <w:p w:rsidR="00DC6096" w:rsidRDefault="00DC6096" w:rsidP="00DC6096">
            <w:pPr>
              <w:numPr>
                <w:ilvl w:val="0"/>
                <w:numId w:val="6"/>
              </w:numPr>
              <w:suppressAutoHyphens w:val="0"/>
              <w:ind w:left="357" w:hanging="357"/>
            </w:pPr>
            <w:r w:rsidRPr="002D3888">
              <w:t xml:space="preserve">Access to student </w:t>
            </w:r>
            <w:r>
              <w:t>achievement advisors</w:t>
            </w:r>
          </w:p>
          <w:p w:rsidR="00DC6096" w:rsidRPr="00D924A2" w:rsidRDefault="00DC6096" w:rsidP="00DC6096">
            <w:pPr>
              <w:pStyle w:val="ListParagraph"/>
              <w:numPr>
                <w:ilvl w:val="0"/>
                <w:numId w:val="6"/>
              </w:numPr>
              <w:suppressAutoHyphens w:val="0"/>
              <w:ind w:left="357" w:hanging="357"/>
              <w:contextualSpacing/>
            </w:pPr>
            <w:r w:rsidRPr="00E13F3F">
              <w:t xml:space="preserve">Student e-mail and </w:t>
            </w:r>
            <w:r>
              <w:t>Unihub</w:t>
            </w:r>
          </w:p>
        </w:tc>
      </w:tr>
    </w:tbl>
    <w:p w:rsidR="00DC6096" w:rsidRDefault="00DC6096" w:rsidP="00DC6096"/>
    <w:tbl>
      <w:tblPr>
        <w:tblW w:w="5000" w:type="pct"/>
        <w:tblInd w:w="-3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984"/>
        <w:gridCol w:w="3894"/>
      </w:tblGrid>
      <w:tr w:rsidR="00DC6096" w:rsidRPr="00D924A2" w:rsidTr="001428D4">
        <w:tc>
          <w:tcPr>
            <w:tcW w:w="2169" w:type="pct"/>
            <w:tcBorders>
              <w:bottom w:val="single" w:sz="18" w:space="0" w:color="FFFFFF"/>
              <w:right w:val="single" w:sz="18" w:space="0" w:color="FFFFFF"/>
            </w:tcBorders>
            <w:shd w:val="pct12" w:color="auto" w:fill="FFFFFF"/>
          </w:tcPr>
          <w:p w:rsidR="00DC6096" w:rsidRPr="00D924A2" w:rsidRDefault="00DC6096" w:rsidP="001428D4">
            <w:pPr>
              <w:pStyle w:val="Heading2"/>
            </w:pPr>
            <w:bookmarkStart w:id="30" w:name="_Toc393807126"/>
            <w:r w:rsidRPr="00D924A2">
              <w:t>18. JACS code (or other relevant coding system)</w:t>
            </w:r>
            <w:bookmarkEnd w:id="30"/>
          </w:p>
        </w:tc>
        <w:tc>
          <w:tcPr>
            <w:tcW w:w="2831" w:type="pct"/>
          </w:tcPr>
          <w:p w:rsidR="00DC6096" w:rsidRPr="00D924A2" w:rsidRDefault="00DC6096" w:rsidP="001428D4">
            <w:r>
              <w:t>L100</w:t>
            </w:r>
          </w:p>
        </w:tc>
      </w:tr>
      <w:tr w:rsidR="00DC6096" w:rsidRPr="00D924A2" w:rsidTr="001428D4">
        <w:tc>
          <w:tcPr>
            <w:tcW w:w="2169" w:type="pct"/>
            <w:tcBorders>
              <w:top w:val="single" w:sz="18" w:space="0" w:color="FFFFFF"/>
              <w:right w:val="single" w:sz="18" w:space="0" w:color="FFFFFF"/>
            </w:tcBorders>
            <w:shd w:val="pct12" w:color="auto" w:fill="FFFFFF"/>
          </w:tcPr>
          <w:p w:rsidR="00DC6096" w:rsidRPr="00D924A2" w:rsidRDefault="00DC6096" w:rsidP="001428D4">
            <w:pPr>
              <w:pStyle w:val="Heading2"/>
            </w:pPr>
            <w:bookmarkStart w:id="31" w:name="_Toc393807127"/>
            <w:r w:rsidRPr="00D924A2">
              <w:t>19. Relevant QAA subject benchmark group(s)</w:t>
            </w:r>
            <w:bookmarkEnd w:id="31"/>
          </w:p>
        </w:tc>
        <w:tc>
          <w:tcPr>
            <w:tcW w:w="2831" w:type="pct"/>
          </w:tcPr>
          <w:p w:rsidR="00DC6096" w:rsidRPr="00D924A2" w:rsidRDefault="00DC6096" w:rsidP="001428D4">
            <w:r>
              <w:t>N/A</w:t>
            </w:r>
          </w:p>
        </w:tc>
      </w:tr>
    </w:tbl>
    <w:p w:rsidR="00DC6096" w:rsidRPr="00D924A2" w:rsidRDefault="00DC6096" w:rsidP="00DC6096"/>
    <w:tbl>
      <w:tblPr>
        <w:tblW w:w="69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tblGrid>
      <w:tr w:rsidR="00DC6096" w:rsidRPr="00D924A2" w:rsidTr="001428D4">
        <w:tc>
          <w:tcPr>
            <w:tcW w:w="6946" w:type="dxa"/>
          </w:tcPr>
          <w:p w:rsidR="00DC6096" w:rsidRPr="00D924A2" w:rsidRDefault="00DC6096" w:rsidP="001428D4">
            <w:pPr>
              <w:pStyle w:val="Heading2"/>
            </w:pPr>
            <w:bookmarkStart w:id="32" w:name="_Toc393807128"/>
            <w:r w:rsidRPr="00D924A2">
              <w:t>20. Reference points</w:t>
            </w:r>
            <w:bookmarkEnd w:id="32"/>
          </w:p>
          <w:p w:rsidR="00DC6096" w:rsidRPr="002D3888" w:rsidRDefault="00DC6096" w:rsidP="00DC6096">
            <w:pPr>
              <w:numPr>
                <w:ilvl w:val="0"/>
                <w:numId w:val="7"/>
              </w:numPr>
              <w:suppressAutoHyphens w:val="0"/>
              <w:spacing w:before="60"/>
            </w:pPr>
            <w:r w:rsidRPr="002D3888">
              <w:t>QAA Guidelines for programme specifications</w:t>
            </w:r>
          </w:p>
          <w:p w:rsidR="00DC6096" w:rsidRPr="002D3888" w:rsidRDefault="00DC6096" w:rsidP="00DC6096">
            <w:pPr>
              <w:numPr>
                <w:ilvl w:val="0"/>
                <w:numId w:val="7"/>
              </w:numPr>
              <w:suppressAutoHyphens w:val="0"/>
            </w:pPr>
            <w:r w:rsidRPr="002D3888">
              <w:t>QAA Qualifications Framework</w:t>
            </w:r>
          </w:p>
          <w:p w:rsidR="00DC6096" w:rsidRPr="002D3888" w:rsidRDefault="00DC6096" w:rsidP="00DC6096">
            <w:pPr>
              <w:numPr>
                <w:ilvl w:val="0"/>
                <w:numId w:val="7"/>
              </w:numPr>
              <w:suppressAutoHyphens w:val="0"/>
            </w:pPr>
            <w:r w:rsidRPr="002D3888">
              <w:t>Middlesex University Regulations</w:t>
            </w:r>
          </w:p>
          <w:p w:rsidR="00DC6096" w:rsidRPr="002D3888" w:rsidRDefault="00DC6096" w:rsidP="00DC6096">
            <w:pPr>
              <w:numPr>
                <w:ilvl w:val="0"/>
                <w:numId w:val="7"/>
              </w:numPr>
              <w:suppressAutoHyphens w:val="0"/>
            </w:pPr>
            <w:r w:rsidRPr="002D3888">
              <w:t xml:space="preserve">Middlesex University Learning Framework </w:t>
            </w:r>
            <w:r>
              <w:t>– Programme Design Guidance, 2012</w:t>
            </w:r>
          </w:p>
          <w:p w:rsidR="00DC6096" w:rsidRPr="00D924A2" w:rsidRDefault="00DC6096" w:rsidP="001428D4">
            <w:pPr>
              <w:ind w:left="360"/>
            </w:pPr>
          </w:p>
        </w:tc>
      </w:tr>
    </w:tbl>
    <w:p w:rsidR="00DC6096" w:rsidRDefault="00DC6096" w:rsidP="00DC6096"/>
    <w:tbl>
      <w:tblPr>
        <w:tblW w:w="7061" w:type="dxa"/>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61"/>
      </w:tblGrid>
      <w:tr w:rsidR="00DC6096" w:rsidRPr="00D924A2" w:rsidTr="001428D4">
        <w:tc>
          <w:tcPr>
            <w:tcW w:w="7061" w:type="dxa"/>
            <w:tcBorders>
              <w:bottom w:val="nil"/>
            </w:tcBorders>
            <w:shd w:val="pct12" w:color="auto" w:fill="FFFFFF"/>
          </w:tcPr>
          <w:p w:rsidR="00DC6096" w:rsidRPr="00D924A2" w:rsidRDefault="00DC6096" w:rsidP="001428D4">
            <w:pPr>
              <w:pStyle w:val="Heading2"/>
            </w:pPr>
            <w:bookmarkStart w:id="33" w:name="_Toc393807129"/>
            <w:r w:rsidRPr="00D924A2">
              <w:t>21. Other information</w:t>
            </w:r>
            <w:bookmarkEnd w:id="33"/>
          </w:p>
        </w:tc>
      </w:tr>
      <w:tr w:rsidR="00DC6096" w:rsidRPr="00D924A2" w:rsidTr="001428D4">
        <w:tc>
          <w:tcPr>
            <w:tcW w:w="7061" w:type="dxa"/>
            <w:tcBorders>
              <w:top w:val="nil"/>
            </w:tcBorders>
          </w:tcPr>
          <w:p w:rsidR="00DC6096" w:rsidRPr="002D3888" w:rsidRDefault="00DC6096" w:rsidP="001428D4">
            <w:r w:rsidRPr="002D3888">
              <w:t>Indicators of quality:</w:t>
            </w:r>
          </w:p>
          <w:p w:rsidR="00DC6096" w:rsidRPr="002D3888" w:rsidRDefault="00DC6096" w:rsidP="00DC6096">
            <w:pPr>
              <w:numPr>
                <w:ilvl w:val="0"/>
                <w:numId w:val="9"/>
              </w:numPr>
              <w:suppressAutoHyphens w:val="0"/>
              <w:spacing w:before="60"/>
            </w:pPr>
            <w:r w:rsidRPr="002D3888">
              <w:t>Student achievement</w:t>
            </w:r>
          </w:p>
          <w:p w:rsidR="00DC6096" w:rsidRPr="002D3888" w:rsidRDefault="00DC6096" w:rsidP="00DC6096">
            <w:pPr>
              <w:numPr>
                <w:ilvl w:val="0"/>
                <w:numId w:val="9"/>
              </w:numPr>
              <w:suppressAutoHyphens w:val="0"/>
            </w:pPr>
            <w:r w:rsidRPr="002D3888">
              <w:t>Buoyant enrolment</w:t>
            </w:r>
          </w:p>
          <w:p w:rsidR="00DC6096" w:rsidRPr="002D3888" w:rsidRDefault="00DC6096" w:rsidP="00DC6096">
            <w:pPr>
              <w:numPr>
                <w:ilvl w:val="0"/>
                <w:numId w:val="9"/>
              </w:numPr>
              <w:suppressAutoHyphens w:val="0"/>
            </w:pPr>
            <w:r w:rsidRPr="002D3888">
              <w:t>Student feedback evaluation forms</w:t>
            </w:r>
          </w:p>
          <w:p w:rsidR="00DC6096" w:rsidRPr="002D3888" w:rsidRDefault="00DC6096" w:rsidP="00DC6096">
            <w:pPr>
              <w:numPr>
                <w:ilvl w:val="0"/>
                <w:numId w:val="9"/>
              </w:numPr>
              <w:suppressAutoHyphens w:val="0"/>
            </w:pPr>
            <w:r w:rsidRPr="002D3888">
              <w:t>External examiners reports</w:t>
            </w:r>
          </w:p>
          <w:p w:rsidR="00DC6096" w:rsidRPr="002D3888" w:rsidRDefault="00DC6096" w:rsidP="00DC6096">
            <w:pPr>
              <w:numPr>
                <w:ilvl w:val="0"/>
                <w:numId w:val="9"/>
              </w:numPr>
              <w:suppressAutoHyphens w:val="0"/>
            </w:pPr>
            <w:r w:rsidRPr="002D3888">
              <w:t>Student employability</w:t>
            </w:r>
          </w:p>
          <w:p w:rsidR="00DC6096" w:rsidRPr="002D3888" w:rsidRDefault="00DC6096" w:rsidP="001428D4">
            <w:pPr>
              <w:ind w:left="360" w:hanging="360"/>
            </w:pPr>
            <w:r w:rsidRPr="002D3888">
              <w:t>Methods for evaluating and improving the quality and standards of learning are:</w:t>
            </w:r>
          </w:p>
          <w:p w:rsidR="00DC6096" w:rsidRPr="002D3888" w:rsidRDefault="00DC6096" w:rsidP="00DC6096">
            <w:pPr>
              <w:numPr>
                <w:ilvl w:val="0"/>
                <w:numId w:val="8"/>
              </w:numPr>
              <w:suppressAutoHyphens w:val="0"/>
              <w:spacing w:before="60"/>
            </w:pPr>
            <w:r w:rsidRPr="002D3888">
              <w:t>External Examiner reports</w:t>
            </w:r>
          </w:p>
          <w:p w:rsidR="00DC6096" w:rsidRPr="002D3888" w:rsidRDefault="00DC6096" w:rsidP="00DC6096">
            <w:pPr>
              <w:numPr>
                <w:ilvl w:val="0"/>
                <w:numId w:val="8"/>
              </w:numPr>
              <w:suppressAutoHyphens w:val="0"/>
            </w:pPr>
            <w:r>
              <w:t>Quality</w:t>
            </w:r>
            <w:r w:rsidRPr="002D3888">
              <w:t xml:space="preserve"> Monitoring reports</w:t>
            </w:r>
          </w:p>
          <w:p w:rsidR="00DC6096" w:rsidRPr="002D3888" w:rsidRDefault="00DC6096" w:rsidP="00DC6096">
            <w:pPr>
              <w:numPr>
                <w:ilvl w:val="0"/>
                <w:numId w:val="8"/>
              </w:numPr>
              <w:suppressAutoHyphens w:val="0"/>
            </w:pPr>
            <w:r w:rsidRPr="002D3888">
              <w:t>Board of Study</w:t>
            </w:r>
          </w:p>
          <w:p w:rsidR="00DC6096" w:rsidRPr="002D3888" w:rsidRDefault="00DC6096" w:rsidP="00DC6096">
            <w:pPr>
              <w:numPr>
                <w:ilvl w:val="0"/>
                <w:numId w:val="8"/>
              </w:numPr>
              <w:suppressAutoHyphens w:val="0"/>
            </w:pPr>
            <w:r w:rsidRPr="002D3888">
              <w:t>Student focus group</w:t>
            </w:r>
          </w:p>
          <w:p w:rsidR="00DC6096" w:rsidRPr="002D3888" w:rsidRDefault="00DC6096" w:rsidP="00DC6096">
            <w:pPr>
              <w:numPr>
                <w:ilvl w:val="0"/>
                <w:numId w:val="8"/>
              </w:numPr>
              <w:suppressAutoHyphens w:val="0"/>
            </w:pPr>
            <w:r w:rsidRPr="002D3888">
              <w:t>Module evaluation and report</w:t>
            </w:r>
          </w:p>
          <w:p w:rsidR="00DC6096" w:rsidRPr="002D3888" w:rsidRDefault="00DC6096" w:rsidP="00DC6096">
            <w:pPr>
              <w:numPr>
                <w:ilvl w:val="0"/>
                <w:numId w:val="8"/>
              </w:numPr>
              <w:suppressAutoHyphens w:val="0"/>
            </w:pPr>
            <w:r w:rsidRPr="002D3888">
              <w:t>Peer teaching observations</w:t>
            </w:r>
          </w:p>
          <w:p w:rsidR="00DC6096" w:rsidRPr="002D3888" w:rsidRDefault="00DC6096" w:rsidP="00DC6096">
            <w:pPr>
              <w:numPr>
                <w:ilvl w:val="0"/>
                <w:numId w:val="8"/>
              </w:numPr>
              <w:suppressAutoHyphens w:val="0"/>
            </w:pPr>
            <w:r w:rsidRPr="002D3888">
              <w:t>Student evaluation</w:t>
            </w:r>
          </w:p>
          <w:p w:rsidR="00DC6096" w:rsidRPr="002D3888" w:rsidRDefault="00DC6096" w:rsidP="00DC6096">
            <w:pPr>
              <w:numPr>
                <w:ilvl w:val="0"/>
                <w:numId w:val="8"/>
              </w:numPr>
              <w:suppressAutoHyphens w:val="0"/>
            </w:pPr>
            <w:r w:rsidRPr="002D3888">
              <w:lastRenderedPageBreak/>
              <w:t>Validation and review panels</w:t>
            </w:r>
          </w:p>
          <w:p w:rsidR="00DC6096" w:rsidRPr="00190A67" w:rsidRDefault="00DC6096" w:rsidP="001428D4"/>
          <w:p w:rsidR="00DC6096" w:rsidRPr="00D924A2" w:rsidRDefault="00DC6096" w:rsidP="001428D4">
            <w:r>
              <w:t>See Middlesex University’</w:t>
            </w:r>
            <w:r w:rsidRPr="00190A67">
              <w:t>s Learning and Quality Enhancement Handbook for further information</w:t>
            </w:r>
          </w:p>
          <w:p w:rsidR="00DC6096" w:rsidRPr="00D924A2" w:rsidRDefault="00DC6096" w:rsidP="001428D4"/>
          <w:p w:rsidR="00DC6096" w:rsidRPr="00D924A2" w:rsidRDefault="00DC6096" w:rsidP="001428D4"/>
        </w:tc>
      </w:tr>
    </w:tbl>
    <w:p w:rsidR="00DC6096" w:rsidRDefault="00DC6096" w:rsidP="00DC6096"/>
    <w:p w:rsidR="00DC6096" w:rsidRDefault="00DC6096" w:rsidP="00DC6096">
      <w:pPr>
        <w:rPr>
          <w:b/>
          <w:sz w:val="28"/>
          <w:szCs w:val="28"/>
        </w:rPr>
      </w:pPr>
      <w:r>
        <w:rPr>
          <w:b/>
          <w:sz w:val="28"/>
          <w:szCs w:val="28"/>
        </w:rPr>
        <w:br w:type="page"/>
      </w:r>
    </w:p>
    <w:p w:rsidR="00DC6096" w:rsidRPr="00EF0103" w:rsidRDefault="00DC6096" w:rsidP="00DC6096">
      <w:pPr>
        <w:pBdr>
          <w:bottom w:val="single" w:sz="4" w:space="1" w:color="auto"/>
        </w:pBdr>
        <w:rPr>
          <w:b/>
          <w:sz w:val="28"/>
          <w:szCs w:val="28"/>
        </w:rPr>
      </w:pPr>
      <w:r w:rsidRPr="00EF0103">
        <w:rPr>
          <w:b/>
          <w:sz w:val="28"/>
          <w:szCs w:val="28"/>
        </w:rPr>
        <w:lastRenderedPageBreak/>
        <w:t xml:space="preserve">Curriculum map for </w:t>
      </w:r>
      <w:r>
        <w:rPr>
          <w:b/>
          <w:sz w:val="28"/>
          <w:szCs w:val="28"/>
        </w:rPr>
        <w:t>MSc Banking &amp; Finance</w:t>
      </w:r>
    </w:p>
    <w:p w:rsidR="00DC6096" w:rsidRPr="00F71715" w:rsidRDefault="00DC6096" w:rsidP="00DC6096">
      <w:pPr>
        <w:spacing w:before="120"/>
      </w:pPr>
      <w:r w:rsidRPr="00F71715">
        <w:t>This section maps programme learning outcomes against the modules in which they are assessed.</w:t>
      </w:r>
    </w:p>
    <w:p w:rsidR="00DC6096" w:rsidRPr="00F71715" w:rsidRDefault="00DC6096" w:rsidP="00DC6096">
      <w:pPr>
        <w:spacing w:before="120" w:after="120"/>
        <w:rPr>
          <w:b/>
        </w:rPr>
      </w:pPr>
      <w:r w:rsidRPr="00F71715">
        <w:rPr>
          <w:b/>
        </w:rPr>
        <w:t>Programme learning outcomes</w:t>
      </w:r>
    </w:p>
    <w:tbl>
      <w:tblPr>
        <w:tblW w:w="650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6058"/>
      </w:tblGrid>
      <w:tr w:rsidR="00DC6096" w:rsidRPr="00DD3C79" w:rsidTr="001428D4">
        <w:trPr>
          <w:cantSplit/>
          <w:jc w:val="center"/>
        </w:trPr>
        <w:tc>
          <w:tcPr>
            <w:tcW w:w="6505" w:type="dxa"/>
            <w:gridSpan w:val="2"/>
            <w:shd w:val="clear" w:color="auto" w:fill="D9D9D9"/>
            <w:vAlign w:val="center"/>
          </w:tcPr>
          <w:p w:rsidR="00DC6096" w:rsidRPr="00DD3C79" w:rsidRDefault="00DC6096" w:rsidP="001428D4">
            <w:pPr>
              <w:rPr>
                <w:b/>
                <w:sz w:val="19"/>
                <w:szCs w:val="19"/>
              </w:rPr>
            </w:pPr>
            <w:r w:rsidRPr="00DD3C79">
              <w:rPr>
                <w:b/>
                <w:sz w:val="19"/>
                <w:szCs w:val="19"/>
              </w:rPr>
              <w:t>Knowledge and understanding</w:t>
            </w:r>
          </w:p>
        </w:tc>
      </w:tr>
      <w:tr w:rsidR="00DC6096" w:rsidRPr="00DD3C79" w:rsidTr="001428D4">
        <w:trPr>
          <w:jc w:val="center"/>
        </w:trPr>
        <w:tc>
          <w:tcPr>
            <w:tcW w:w="447" w:type="dxa"/>
            <w:vAlign w:val="center"/>
          </w:tcPr>
          <w:p w:rsidR="00DC6096" w:rsidRDefault="00DC6096" w:rsidP="001428D4">
            <w:pPr>
              <w:snapToGrid w:val="0"/>
              <w:rPr>
                <w:sz w:val="18"/>
              </w:rPr>
            </w:pPr>
            <w:r>
              <w:rPr>
                <w:sz w:val="18"/>
              </w:rPr>
              <w:t>A1</w:t>
            </w:r>
          </w:p>
        </w:tc>
        <w:tc>
          <w:tcPr>
            <w:tcW w:w="6058" w:type="dxa"/>
            <w:vAlign w:val="center"/>
          </w:tcPr>
          <w:p w:rsidR="00DC6096" w:rsidRPr="00114A9F" w:rsidRDefault="00DC6096" w:rsidP="001428D4">
            <w:r w:rsidRPr="00114A9F">
              <w:t>The application of advanced banking, finance and economic theory to current developments in financial markets.</w:t>
            </w:r>
          </w:p>
        </w:tc>
      </w:tr>
      <w:tr w:rsidR="00DC6096" w:rsidRPr="00DD3C79" w:rsidTr="001428D4">
        <w:trPr>
          <w:jc w:val="center"/>
        </w:trPr>
        <w:tc>
          <w:tcPr>
            <w:tcW w:w="447" w:type="dxa"/>
            <w:vAlign w:val="center"/>
          </w:tcPr>
          <w:p w:rsidR="00DC6096" w:rsidRDefault="00DC6096" w:rsidP="001428D4">
            <w:pPr>
              <w:snapToGrid w:val="0"/>
              <w:rPr>
                <w:sz w:val="18"/>
              </w:rPr>
            </w:pPr>
            <w:r>
              <w:rPr>
                <w:sz w:val="18"/>
              </w:rPr>
              <w:t>A2</w:t>
            </w:r>
          </w:p>
        </w:tc>
        <w:tc>
          <w:tcPr>
            <w:tcW w:w="6058" w:type="dxa"/>
            <w:vAlign w:val="center"/>
          </w:tcPr>
          <w:p w:rsidR="00DC6096" w:rsidRPr="00114A9F" w:rsidRDefault="00DC6096" w:rsidP="001428D4">
            <w:r w:rsidRPr="00114A9F">
              <w:t>The role, operations and regulation of financial intermediaries (institutions).</w:t>
            </w:r>
          </w:p>
        </w:tc>
      </w:tr>
      <w:tr w:rsidR="00DC6096" w:rsidRPr="00DD3C79" w:rsidTr="001428D4">
        <w:trPr>
          <w:jc w:val="center"/>
        </w:trPr>
        <w:tc>
          <w:tcPr>
            <w:tcW w:w="447" w:type="dxa"/>
            <w:vAlign w:val="center"/>
          </w:tcPr>
          <w:p w:rsidR="00DC6096" w:rsidRDefault="00DC6096" w:rsidP="001428D4">
            <w:pPr>
              <w:snapToGrid w:val="0"/>
              <w:rPr>
                <w:sz w:val="18"/>
              </w:rPr>
            </w:pPr>
            <w:r>
              <w:rPr>
                <w:sz w:val="18"/>
              </w:rPr>
              <w:t>A3</w:t>
            </w:r>
          </w:p>
        </w:tc>
        <w:tc>
          <w:tcPr>
            <w:tcW w:w="6058" w:type="dxa"/>
            <w:vAlign w:val="center"/>
          </w:tcPr>
          <w:p w:rsidR="00DC6096" w:rsidRPr="00114A9F" w:rsidRDefault="00DC6096" w:rsidP="001428D4">
            <w:r w:rsidRPr="00114A9F">
              <w:t>The structure and workings of domestic</w:t>
            </w:r>
            <w:r>
              <w:t>, Islamic,</w:t>
            </w:r>
            <w:r w:rsidRPr="00114A9F">
              <w:t xml:space="preserve"> and global financial markets.</w:t>
            </w:r>
          </w:p>
        </w:tc>
      </w:tr>
      <w:tr w:rsidR="00DC6096" w:rsidRPr="00DD3C79" w:rsidTr="001428D4">
        <w:trPr>
          <w:jc w:val="center"/>
        </w:trPr>
        <w:tc>
          <w:tcPr>
            <w:tcW w:w="447" w:type="dxa"/>
            <w:vAlign w:val="center"/>
          </w:tcPr>
          <w:p w:rsidR="00DC6096" w:rsidRDefault="00DC6096" w:rsidP="001428D4">
            <w:pPr>
              <w:snapToGrid w:val="0"/>
              <w:rPr>
                <w:sz w:val="18"/>
              </w:rPr>
            </w:pPr>
            <w:r>
              <w:rPr>
                <w:sz w:val="18"/>
              </w:rPr>
              <w:t>A4</w:t>
            </w:r>
          </w:p>
        </w:tc>
        <w:tc>
          <w:tcPr>
            <w:tcW w:w="6058" w:type="dxa"/>
            <w:vAlign w:val="center"/>
          </w:tcPr>
          <w:p w:rsidR="00DC6096" w:rsidRPr="00114A9F" w:rsidRDefault="00DC6096" w:rsidP="001428D4">
            <w:r w:rsidRPr="00114A9F">
              <w:t>Key theoretical concepts and practical techniques employed in the management of risks faced by domestic and international banks.</w:t>
            </w:r>
          </w:p>
        </w:tc>
      </w:tr>
      <w:tr w:rsidR="00DC6096" w:rsidRPr="00DD3C79" w:rsidTr="001428D4">
        <w:trPr>
          <w:jc w:val="center"/>
        </w:trPr>
        <w:tc>
          <w:tcPr>
            <w:tcW w:w="447" w:type="dxa"/>
            <w:vAlign w:val="center"/>
          </w:tcPr>
          <w:p w:rsidR="00DC6096" w:rsidRDefault="00DC6096" w:rsidP="001428D4">
            <w:pPr>
              <w:snapToGrid w:val="0"/>
              <w:rPr>
                <w:sz w:val="18"/>
              </w:rPr>
            </w:pPr>
            <w:r>
              <w:rPr>
                <w:sz w:val="18"/>
              </w:rPr>
              <w:t>A5</w:t>
            </w:r>
          </w:p>
        </w:tc>
        <w:tc>
          <w:tcPr>
            <w:tcW w:w="6058" w:type="dxa"/>
            <w:vAlign w:val="center"/>
          </w:tcPr>
          <w:p w:rsidR="00DC6096" w:rsidRPr="00114A9F" w:rsidRDefault="00DC6096" w:rsidP="001428D4">
            <w:r w:rsidRPr="00114A9F">
              <w:t>Fundamental theoretical and practical aspects of equity</w:t>
            </w:r>
            <w:r>
              <w:t xml:space="preserve"> (either Islamic or non-Islamic)</w:t>
            </w:r>
            <w:r w:rsidRPr="00114A9F">
              <w:t xml:space="preserve"> and bond portfolio creation, valuation and performance.</w:t>
            </w:r>
          </w:p>
        </w:tc>
      </w:tr>
      <w:tr w:rsidR="00DC6096" w:rsidRPr="00DD3C79" w:rsidTr="001428D4">
        <w:trPr>
          <w:jc w:val="center"/>
        </w:trPr>
        <w:tc>
          <w:tcPr>
            <w:tcW w:w="447" w:type="dxa"/>
            <w:vAlign w:val="center"/>
          </w:tcPr>
          <w:p w:rsidR="00DC6096" w:rsidRDefault="00DC6096" w:rsidP="001428D4">
            <w:pPr>
              <w:snapToGrid w:val="0"/>
              <w:rPr>
                <w:sz w:val="18"/>
              </w:rPr>
            </w:pPr>
            <w:r>
              <w:rPr>
                <w:sz w:val="18"/>
              </w:rPr>
              <w:t>A6</w:t>
            </w:r>
          </w:p>
        </w:tc>
        <w:tc>
          <w:tcPr>
            <w:tcW w:w="6058" w:type="dxa"/>
            <w:vAlign w:val="center"/>
          </w:tcPr>
          <w:p w:rsidR="00DC6096" w:rsidRPr="00114A9F" w:rsidRDefault="00DC6096" w:rsidP="001428D4">
            <w:r w:rsidRPr="00114A9F">
              <w:t>Advanced econometric and statistical methods for the estimation, interpretation, and evaluation of results obtained using banking, financial and economic data.</w:t>
            </w:r>
          </w:p>
        </w:tc>
      </w:tr>
      <w:tr w:rsidR="00DC6096" w:rsidRPr="00DD3C79" w:rsidTr="001428D4">
        <w:trPr>
          <w:jc w:val="center"/>
        </w:trPr>
        <w:tc>
          <w:tcPr>
            <w:tcW w:w="447" w:type="dxa"/>
            <w:vAlign w:val="center"/>
          </w:tcPr>
          <w:p w:rsidR="00DC6096" w:rsidRDefault="00DC6096" w:rsidP="001428D4">
            <w:pPr>
              <w:snapToGrid w:val="0"/>
              <w:rPr>
                <w:sz w:val="18"/>
              </w:rPr>
            </w:pPr>
            <w:r>
              <w:rPr>
                <w:sz w:val="18"/>
              </w:rPr>
              <w:t>A7</w:t>
            </w:r>
          </w:p>
        </w:tc>
        <w:tc>
          <w:tcPr>
            <w:tcW w:w="6058" w:type="dxa"/>
            <w:vAlign w:val="center"/>
          </w:tcPr>
          <w:p w:rsidR="00DC6096" w:rsidRPr="00114A9F" w:rsidRDefault="00DC6096" w:rsidP="001428D4">
            <w:r w:rsidRPr="00114A9F">
              <w:t>Key empirical literature in the fields of banking and finance.</w:t>
            </w:r>
          </w:p>
        </w:tc>
      </w:tr>
      <w:tr w:rsidR="00DC6096" w:rsidRPr="00DD3C79" w:rsidTr="001428D4">
        <w:trPr>
          <w:cantSplit/>
          <w:jc w:val="center"/>
        </w:trPr>
        <w:tc>
          <w:tcPr>
            <w:tcW w:w="6505" w:type="dxa"/>
            <w:gridSpan w:val="2"/>
            <w:shd w:val="clear" w:color="auto" w:fill="D9D9D9"/>
            <w:vAlign w:val="center"/>
          </w:tcPr>
          <w:p w:rsidR="00DC6096" w:rsidRPr="00DD3C79" w:rsidRDefault="00DC6096" w:rsidP="001428D4">
            <w:pPr>
              <w:rPr>
                <w:b/>
                <w:bCs/>
                <w:sz w:val="19"/>
                <w:szCs w:val="19"/>
              </w:rPr>
            </w:pPr>
            <w:r w:rsidRPr="00DD3C79">
              <w:rPr>
                <w:b/>
                <w:bCs/>
                <w:sz w:val="19"/>
                <w:szCs w:val="19"/>
              </w:rPr>
              <w:t>Cognitive skills</w:t>
            </w:r>
          </w:p>
        </w:tc>
      </w:tr>
      <w:tr w:rsidR="00DC6096" w:rsidRPr="00DD3C79" w:rsidTr="001428D4">
        <w:trPr>
          <w:jc w:val="center"/>
        </w:trPr>
        <w:tc>
          <w:tcPr>
            <w:tcW w:w="447" w:type="dxa"/>
            <w:vAlign w:val="center"/>
          </w:tcPr>
          <w:p w:rsidR="00DC6096" w:rsidRDefault="00DC6096" w:rsidP="001428D4">
            <w:pPr>
              <w:snapToGrid w:val="0"/>
              <w:rPr>
                <w:sz w:val="18"/>
              </w:rPr>
            </w:pPr>
            <w:r>
              <w:rPr>
                <w:sz w:val="18"/>
              </w:rPr>
              <w:t>B1</w:t>
            </w:r>
          </w:p>
        </w:tc>
        <w:tc>
          <w:tcPr>
            <w:tcW w:w="6058" w:type="dxa"/>
            <w:vAlign w:val="center"/>
          </w:tcPr>
          <w:p w:rsidR="00DC6096" w:rsidRPr="00114A9F" w:rsidRDefault="00DC6096" w:rsidP="001428D4">
            <w:r w:rsidRPr="00114A9F">
              <w:t>Criticise, compare and evaluate competing theories in the fields of banking and finance.</w:t>
            </w:r>
          </w:p>
        </w:tc>
      </w:tr>
      <w:tr w:rsidR="00DC6096" w:rsidRPr="00DD3C79" w:rsidTr="001428D4">
        <w:trPr>
          <w:jc w:val="center"/>
        </w:trPr>
        <w:tc>
          <w:tcPr>
            <w:tcW w:w="447" w:type="dxa"/>
            <w:vAlign w:val="center"/>
          </w:tcPr>
          <w:p w:rsidR="00DC6096" w:rsidRDefault="00DC6096" w:rsidP="001428D4">
            <w:pPr>
              <w:snapToGrid w:val="0"/>
              <w:rPr>
                <w:sz w:val="18"/>
              </w:rPr>
            </w:pPr>
            <w:r>
              <w:rPr>
                <w:sz w:val="18"/>
              </w:rPr>
              <w:t>B2</w:t>
            </w:r>
          </w:p>
        </w:tc>
        <w:tc>
          <w:tcPr>
            <w:tcW w:w="6058" w:type="dxa"/>
            <w:vAlign w:val="center"/>
          </w:tcPr>
          <w:p w:rsidR="00DC6096" w:rsidRPr="00114A9F" w:rsidRDefault="00DC6096" w:rsidP="001428D4">
            <w:r w:rsidRPr="00114A9F">
              <w:t>Critically appraise empirical literature.</w:t>
            </w:r>
          </w:p>
        </w:tc>
      </w:tr>
      <w:tr w:rsidR="00DC6096" w:rsidRPr="00DD3C79" w:rsidTr="001428D4">
        <w:trPr>
          <w:jc w:val="center"/>
        </w:trPr>
        <w:tc>
          <w:tcPr>
            <w:tcW w:w="447" w:type="dxa"/>
            <w:vAlign w:val="center"/>
          </w:tcPr>
          <w:p w:rsidR="00DC6096" w:rsidRDefault="00DC6096" w:rsidP="001428D4">
            <w:pPr>
              <w:snapToGrid w:val="0"/>
              <w:rPr>
                <w:sz w:val="18"/>
              </w:rPr>
            </w:pPr>
            <w:r>
              <w:rPr>
                <w:sz w:val="18"/>
              </w:rPr>
              <w:t>B3</w:t>
            </w:r>
          </w:p>
        </w:tc>
        <w:tc>
          <w:tcPr>
            <w:tcW w:w="6058" w:type="dxa"/>
            <w:vAlign w:val="center"/>
          </w:tcPr>
          <w:p w:rsidR="00DC6096" w:rsidRPr="00114A9F" w:rsidRDefault="00DC6096" w:rsidP="001428D4">
            <w:r w:rsidRPr="00114A9F">
              <w:t>Synthesise theoretical and practical understanding in problem solving exercises and case studies.</w:t>
            </w:r>
          </w:p>
        </w:tc>
      </w:tr>
      <w:tr w:rsidR="00DC6096" w:rsidRPr="00DD3C79" w:rsidTr="001428D4">
        <w:trPr>
          <w:jc w:val="center"/>
        </w:trPr>
        <w:tc>
          <w:tcPr>
            <w:tcW w:w="447" w:type="dxa"/>
            <w:vAlign w:val="center"/>
          </w:tcPr>
          <w:p w:rsidR="00DC6096" w:rsidRDefault="00DC6096" w:rsidP="001428D4">
            <w:pPr>
              <w:snapToGrid w:val="0"/>
              <w:rPr>
                <w:sz w:val="18"/>
              </w:rPr>
            </w:pPr>
            <w:r>
              <w:rPr>
                <w:sz w:val="18"/>
              </w:rPr>
              <w:t>B4</w:t>
            </w:r>
          </w:p>
        </w:tc>
        <w:tc>
          <w:tcPr>
            <w:tcW w:w="6058" w:type="dxa"/>
            <w:vAlign w:val="center"/>
          </w:tcPr>
          <w:p w:rsidR="00DC6096" w:rsidRPr="00114A9F" w:rsidRDefault="00DC6096" w:rsidP="001428D4">
            <w:r w:rsidRPr="00114A9F">
              <w:t>Present cogent, reflective and, where appropriate creative arguments that demonstrate advanced understanding of banking and finance.</w:t>
            </w:r>
          </w:p>
        </w:tc>
      </w:tr>
      <w:tr w:rsidR="00DC6096" w:rsidRPr="00DD3C79" w:rsidTr="001428D4">
        <w:trPr>
          <w:jc w:val="center"/>
        </w:trPr>
        <w:tc>
          <w:tcPr>
            <w:tcW w:w="447" w:type="dxa"/>
            <w:vAlign w:val="center"/>
          </w:tcPr>
          <w:p w:rsidR="00DC6096" w:rsidRDefault="00DC6096" w:rsidP="001428D4">
            <w:pPr>
              <w:snapToGrid w:val="0"/>
              <w:rPr>
                <w:sz w:val="18"/>
              </w:rPr>
            </w:pPr>
            <w:r>
              <w:rPr>
                <w:sz w:val="18"/>
              </w:rPr>
              <w:t>B5</w:t>
            </w:r>
          </w:p>
        </w:tc>
        <w:tc>
          <w:tcPr>
            <w:tcW w:w="6058" w:type="dxa"/>
            <w:vAlign w:val="center"/>
          </w:tcPr>
          <w:p w:rsidR="00DC6096" w:rsidRPr="00114A9F" w:rsidRDefault="00DC6096" w:rsidP="001428D4">
            <w:r w:rsidRPr="00114A9F">
              <w:t>Critically interpret and evaluate financial information and data.</w:t>
            </w:r>
          </w:p>
        </w:tc>
      </w:tr>
      <w:tr w:rsidR="00DC6096" w:rsidRPr="00DD3C79" w:rsidTr="001428D4">
        <w:trPr>
          <w:jc w:val="center"/>
        </w:trPr>
        <w:tc>
          <w:tcPr>
            <w:tcW w:w="447" w:type="dxa"/>
            <w:vAlign w:val="center"/>
          </w:tcPr>
          <w:p w:rsidR="00DC6096" w:rsidRDefault="00DC6096" w:rsidP="001428D4">
            <w:pPr>
              <w:snapToGrid w:val="0"/>
              <w:rPr>
                <w:sz w:val="18"/>
              </w:rPr>
            </w:pPr>
            <w:r>
              <w:rPr>
                <w:sz w:val="18"/>
              </w:rPr>
              <w:t>B6</w:t>
            </w:r>
          </w:p>
        </w:tc>
        <w:tc>
          <w:tcPr>
            <w:tcW w:w="6058" w:type="dxa"/>
            <w:vAlign w:val="center"/>
          </w:tcPr>
          <w:p w:rsidR="00DC6096" w:rsidRPr="00114A9F" w:rsidRDefault="00DC6096" w:rsidP="001428D4">
            <w:r w:rsidRPr="00114A9F">
              <w:t>Pursue an independent and original line of enquiry in identifying and researching a dissertation topic.</w:t>
            </w:r>
          </w:p>
        </w:tc>
      </w:tr>
      <w:tr w:rsidR="00DC6096" w:rsidRPr="00DD3C79" w:rsidTr="001428D4">
        <w:trPr>
          <w:jc w:val="center"/>
        </w:trPr>
        <w:tc>
          <w:tcPr>
            <w:tcW w:w="447" w:type="dxa"/>
            <w:vAlign w:val="center"/>
          </w:tcPr>
          <w:p w:rsidR="00DC6096" w:rsidRDefault="00DC6096" w:rsidP="001428D4">
            <w:pPr>
              <w:snapToGrid w:val="0"/>
              <w:rPr>
                <w:sz w:val="18"/>
              </w:rPr>
            </w:pPr>
            <w:r>
              <w:rPr>
                <w:sz w:val="18"/>
              </w:rPr>
              <w:t>B7</w:t>
            </w:r>
          </w:p>
        </w:tc>
        <w:tc>
          <w:tcPr>
            <w:tcW w:w="6058" w:type="dxa"/>
            <w:vAlign w:val="center"/>
          </w:tcPr>
          <w:p w:rsidR="00DC6096" w:rsidRPr="00114A9F" w:rsidRDefault="00DC6096" w:rsidP="001428D4">
            <w:r w:rsidRPr="00114A9F">
              <w:t>Effectively organise, structure and produce a dissertation at an advanced level.</w:t>
            </w:r>
          </w:p>
        </w:tc>
      </w:tr>
    </w:tbl>
    <w:p w:rsidR="00DC6096" w:rsidRDefault="00DC6096" w:rsidP="00DC6096">
      <w:r>
        <w:br w:type="page"/>
      </w:r>
    </w:p>
    <w:tbl>
      <w:tblPr>
        <w:tblW w:w="650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6058"/>
      </w:tblGrid>
      <w:tr w:rsidR="00DC6096" w:rsidRPr="00DD3C79" w:rsidTr="001428D4">
        <w:trPr>
          <w:cantSplit/>
          <w:jc w:val="center"/>
        </w:trPr>
        <w:tc>
          <w:tcPr>
            <w:tcW w:w="6505" w:type="dxa"/>
            <w:gridSpan w:val="2"/>
            <w:shd w:val="clear" w:color="auto" w:fill="D9D9D9"/>
            <w:vAlign w:val="center"/>
          </w:tcPr>
          <w:p w:rsidR="00DC6096" w:rsidRPr="00DD3C79" w:rsidRDefault="00DC6096" w:rsidP="001428D4">
            <w:pPr>
              <w:rPr>
                <w:b/>
                <w:bCs/>
                <w:sz w:val="19"/>
                <w:szCs w:val="19"/>
              </w:rPr>
            </w:pPr>
            <w:r w:rsidRPr="00DD3C79">
              <w:rPr>
                <w:b/>
                <w:bCs/>
                <w:sz w:val="19"/>
                <w:szCs w:val="19"/>
              </w:rPr>
              <w:lastRenderedPageBreak/>
              <w:t>Practical skills</w:t>
            </w:r>
          </w:p>
        </w:tc>
      </w:tr>
      <w:tr w:rsidR="00DC6096" w:rsidRPr="00BD5F7B" w:rsidTr="001428D4">
        <w:trPr>
          <w:jc w:val="center"/>
        </w:trPr>
        <w:tc>
          <w:tcPr>
            <w:tcW w:w="447" w:type="dxa"/>
            <w:vAlign w:val="center"/>
          </w:tcPr>
          <w:p w:rsidR="00DC6096" w:rsidRDefault="00DC6096" w:rsidP="001428D4">
            <w:pPr>
              <w:snapToGrid w:val="0"/>
              <w:rPr>
                <w:sz w:val="18"/>
              </w:rPr>
            </w:pPr>
            <w:r>
              <w:rPr>
                <w:sz w:val="18"/>
              </w:rPr>
              <w:t>C1</w:t>
            </w:r>
          </w:p>
        </w:tc>
        <w:tc>
          <w:tcPr>
            <w:tcW w:w="6058" w:type="dxa"/>
            <w:vAlign w:val="center"/>
          </w:tcPr>
          <w:p w:rsidR="00DC6096" w:rsidRPr="00114A9F" w:rsidRDefault="00DC6096" w:rsidP="001428D4">
            <w:r w:rsidRPr="00114A9F">
              <w:t>Source banking, financial and economic data from a range of different sources including electronic databases and use this to support his/her learning.</w:t>
            </w:r>
          </w:p>
        </w:tc>
      </w:tr>
      <w:tr w:rsidR="00DC6096" w:rsidRPr="00BD5F7B" w:rsidTr="001428D4">
        <w:trPr>
          <w:jc w:val="center"/>
        </w:trPr>
        <w:tc>
          <w:tcPr>
            <w:tcW w:w="447" w:type="dxa"/>
            <w:vAlign w:val="center"/>
          </w:tcPr>
          <w:p w:rsidR="00DC6096" w:rsidRDefault="00DC6096" w:rsidP="001428D4">
            <w:pPr>
              <w:snapToGrid w:val="0"/>
              <w:rPr>
                <w:sz w:val="18"/>
              </w:rPr>
            </w:pPr>
            <w:r>
              <w:rPr>
                <w:sz w:val="18"/>
              </w:rPr>
              <w:t>C2</w:t>
            </w:r>
          </w:p>
        </w:tc>
        <w:tc>
          <w:tcPr>
            <w:tcW w:w="6058" w:type="dxa"/>
            <w:vAlign w:val="center"/>
          </w:tcPr>
          <w:p w:rsidR="00DC6096" w:rsidRPr="00114A9F" w:rsidRDefault="00DC6096" w:rsidP="001428D4">
            <w:r w:rsidRPr="00114A9F">
              <w:t>Analyse and interpret banking, financial and economic data at firm, industry and country level.</w:t>
            </w:r>
          </w:p>
        </w:tc>
      </w:tr>
      <w:tr w:rsidR="00DC6096" w:rsidRPr="00BD5F7B" w:rsidTr="001428D4">
        <w:trPr>
          <w:jc w:val="center"/>
        </w:trPr>
        <w:tc>
          <w:tcPr>
            <w:tcW w:w="447" w:type="dxa"/>
            <w:vAlign w:val="center"/>
          </w:tcPr>
          <w:p w:rsidR="00DC6096" w:rsidRDefault="00DC6096" w:rsidP="001428D4">
            <w:pPr>
              <w:snapToGrid w:val="0"/>
              <w:rPr>
                <w:sz w:val="18"/>
              </w:rPr>
            </w:pPr>
            <w:r>
              <w:rPr>
                <w:sz w:val="18"/>
              </w:rPr>
              <w:t>C3</w:t>
            </w:r>
          </w:p>
        </w:tc>
        <w:tc>
          <w:tcPr>
            <w:tcW w:w="6058" w:type="dxa"/>
            <w:vAlign w:val="center"/>
          </w:tcPr>
          <w:p w:rsidR="00DC6096" w:rsidRPr="00114A9F" w:rsidRDefault="00DC6096" w:rsidP="001428D4">
            <w:r w:rsidRPr="00114A9F">
              <w:t>Demonstrate problem solving skills.</w:t>
            </w:r>
          </w:p>
        </w:tc>
      </w:tr>
      <w:tr w:rsidR="00DC6096" w:rsidRPr="00BD5F7B" w:rsidTr="001428D4">
        <w:trPr>
          <w:jc w:val="center"/>
        </w:trPr>
        <w:tc>
          <w:tcPr>
            <w:tcW w:w="447" w:type="dxa"/>
            <w:vAlign w:val="center"/>
          </w:tcPr>
          <w:p w:rsidR="00DC6096" w:rsidRDefault="00DC6096" w:rsidP="001428D4">
            <w:pPr>
              <w:snapToGrid w:val="0"/>
              <w:rPr>
                <w:sz w:val="18"/>
              </w:rPr>
            </w:pPr>
            <w:r>
              <w:rPr>
                <w:sz w:val="18"/>
              </w:rPr>
              <w:t>C4</w:t>
            </w:r>
          </w:p>
        </w:tc>
        <w:tc>
          <w:tcPr>
            <w:tcW w:w="6058" w:type="dxa"/>
            <w:vAlign w:val="center"/>
          </w:tcPr>
          <w:p w:rsidR="00DC6096" w:rsidRPr="00114A9F" w:rsidRDefault="00DC6096" w:rsidP="001428D4">
            <w:r w:rsidRPr="00114A9F">
              <w:t>Formulate empirically testable banking, financial and economic models.</w:t>
            </w:r>
          </w:p>
        </w:tc>
      </w:tr>
      <w:tr w:rsidR="00DC6096" w:rsidRPr="00BD5F7B" w:rsidTr="001428D4">
        <w:trPr>
          <w:jc w:val="center"/>
        </w:trPr>
        <w:tc>
          <w:tcPr>
            <w:tcW w:w="447" w:type="dxa"/>
            <w:vAlign w:val="center"/>
          </w:tcPr>
          <w:p w:rsidR="00DC6096" w:rsidRDefault="00DC6096" w:rsidP="001428D4">
            <w:pPr>
              <w:snapToGrid w:val="0"/>
              <w:rPr>
                <w:sz w:val="18"/>
              </w:rPr>
            </w:pPr>
            <w:r>
              <w:rPr>
                <w:sz w:val="18"/>
              </w:rPr>
              <w:t>C5</w:t>
            </w:r>
          </w:p>
        </w:tc>
        <w:tc>
          <w:tcPr>
            <w:tcW w:w="6058" w:type="dxa"/>
            <w:vAlign w:val="center"/>
          </w:tcPr>
          <w:p w:rsidR="00DC6096" w:rsidRPr="00114A9F" w:rsidRDefault="00DC6096" w:rsidP="001428D4">
            <w:r w:rsidRPr="00114A9F">
              <w:t>Use econometric software to investigate relationships in banking, financial and economic data.</w:t>
            </w:r>
          </w:p>
        </w:tc>
      </w:tr>
      <w:tr w:rsidR="00DC6096" w:rsidRPr="00BD5F7B" w:rsidTr="001428D4">
        <w:trPr>
          <w:jc w:val="center"/>
        </w:trPr>
        <w:tc>
          <w:tcPr>
            <w:tcW w:w="447" w:type="dxa"/>
            <w:vAlign w:val="center"/>
          </w:tcPr>
          <w:p w:rsidR="00DC6096" w:rsidRDefault="00DC6096" w:rsidP="001428D4">
            <w:pPr>
              <w:snapToGrid w:val="0"/>
              <w:rPr>
                <w:sz w:val="18"/>
              </w:rPr>
            </w:pPr>
            <w:r>
              <w:rPr>
                <w:sz w:val="18"/>
              </w:rPr>
              <w:t>C6</w:t>
            </w:r>
          </w:p>
        </w:tc>
        <w:tc>
          <w:tcPr>
            <w:tcW w:w="6058" w:type="dxa"/>
            <w:vAlign w:val="center"/>
          </w:tcPr>
          <w:p w:rsidR="00DC6096" w:rsidRPr="00114A9F" w:rsidRDefault="00DC6096" w:rsidP="001428D4">
            <w:r w:rsidRPr="00114A9F">
              <w:t>Interpret and evaluate the results of econometric analysis.</w:t>
            </w:r>
          </w:p>
        </w:tc>
      </w:tr>
    </w:tbl>
    <w:p w:rsidR="00DC6096" w:rsidRDefault="00DC6096" w:rsidP="00DC6096">
      <w:pPr>
        <w:rPr>
          <w:b/>
        </w:rPr>
      </w:pPr>
    </w:p>
    <w:p w:rsidR="00DC6096" w:rsidRDefault="00DC6096" w:rsidP="00DC6096">
      <w:pPr>
        <w:rPr>
          <w:b/>
        </w:rPr>
        <w:sectPr w:rsidR="00DC6096" w:rsidSect="00B54F74">
          <w:headerReference w:type="even" r:id="rId6"/>
          <w:headerReference w:type="default" r:id="rId7"/>
          <w:footerReference w:type="even" r:id="rId8"/>
          <w:footerReference w:type="default" r:id="rId9"/>
          <w:headerReference w:type="first" r:id="rId10"/>
          <w:pgSz w:w="8391" w:h="11907" w:code="11"/>
          <w:pgMar w:top="567" w:right="878" w:bottom="993" w:left="851" w:header="340" w:footer="482" w:gutter="0"/>
          <w:cols w:space="720"/>
          <w:docGrid w:linePitch="299"/>
        </w:sectPr>
      </w:pPr>
    </w:p>
    <w:p w:rsidR="00DC6096" w:rsidRDefault="00DC6096" w:rsidP="00DC6096">
      <w:pPr>
        <w:rPr>
          <w:b/>
        </w:rPr>
      </w:pPr>
    </w:p>
    <w:p w:rsidR="00DC6096" w:rsidRDefault="00DC6096" w:rsidP="00DC6096">
      <w:pPr>
        <w:rPr>
          <w:b/>
        </w:rPr>
      </w:pPr>
      <w:r w:rsidRPr="00A24188">
        <w:rPr>
          <w:b/>
        </w:rPr>
        <w:t>Curriculum map</w:t>
      </w:r>
    </w:p>
    <w:tbl>
      <w:tblPr>
        <w:tblW w:w="5176"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246"/>
        <w:gridCol w:w="843"/>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gridCol w:w="377"/>
      </w:tblGrid>
      <w:tr w:rsidR="00DC6096" w:rsidRPr="00752D92" w:rsidTr="001428D4">
        <w:trPr>
          <w:cantSplit/>
          <w:trHeight w:val="460"/>
          <w:jc w:val="center"/>
        </w:trPr>
        <w:tc>
          <w:tcPr>
            <w:tcW w:w="653" w:type="pct"/>
            <w:vMerge w:val="restart"/>
            <w:shd w:val="clear" w:color="auto" w:fill="E0E0E0"/>
            <w:vAlign w:val="center"/>
          </w:tcPr>
          <w:p w:rsidR="00DC6096" w:rsidRPr="00752D92" w:rsidRDefault="00DC6096" w:rsidP="001428D4">
            <w:pPr>
              <w:spacing w:before="40" w:after="40"/>
              <w:ind w:left="-1343" w:firstLine="1343"/>
              <w:rPr>
                <w:b/>
                <w:sz w:val="20"/>
                <w:szCs w:val="20"/>
              </w:rPr>
            </w:pPr>
            <w:r w:rsidRPr="00752D92">
              <w:rPr>
                <w:b/>
                <w:sz w:val="20"/>
                <w:szCs w:val="20"/>
              </w:rPr>
              <w:t>Module Title</w:t>
            </w:r>
          </w:p>
        </w:tc>
        <w:tc>
          <w:tcPr>
            <w:tcW w:w="440" w:type="pct"/>
            <w:vMerge w:val="restart"/>
            <w:shd w:val="clear" w:color="auto" w:fill="E0E0E0"/>
            <w:vAlign w:val="center"/>
          </w:tcPr>
          <w:p w:rsidR="00DC6096" w:rsidRPr="00752D92" w:rsidRDefault="00DC6096" w:rsidP="001428D4">
            <w:pPr>
              <w:spacing w:before="40" w:after="40"/>
              <w:rPr>
                <w:b/>
                <w:sz w:val="20"/>
                <w:szCs w:val="20"/>
              </w:rPr>
            </w:pPr>
            <w:r w:rsidRPr="00752D92">
              <w:rPr>
                <w:b/>
                <w:sz w:val="20"/>
                <w:szCs w:val="20"/>
              </w:rPr>
              <w:t>Module Code</w:t>
            </w:r>
          </w:p>
        </w:tc>
        <w:tc>
          <w:tcPr>
            <w:tcW w:w="3908" w:type="pct"/>
            <w:gridSpan w:val="20"/>
            <w:shd w:val="clear" w:color="auto" w:fill="E0E0E0"/>
          </w:tcPr>
          <w:p w:rsidR="00DC6096" w:rsidRPr="00752D92" w:rsidRDefault="00DC6096" w:rsidP="001428D4">
            <w:pPr>
              <w:spacing w:before="40" w:after="40"/>
              <w:rPr>
                <w:b/>
                <w:sz w:val="20"/>
                <w:szCs w:val="20"/>
              </w:rPr>
            </w:pPr>
            <w:r w:rsidRPr="00752D92">
              <w:rPr>
                <w:b/>
                <w:sz w:val="20"/>
                <w:szCs w:val="20"/>
              </w:rPr>
              <w:t>Programme Outcomes</w:t>
            </w:r>
          </w:p>
        </w:tc>
      </w:tr>
      <w:tr w:rsidR="00DC6096" w:rsidRPr="00752D92" w:rsidTr="001428D4">
        <w:trPr>
          <w:cantSplit/>
          <w:trHeight w:val="460"/>
          <w:jc w:val="center"/>
        </w:trPr>
        <w:tc>
          <w:tcPr>
            <w:tcW w:w="653" w:type="pct"/>
            <w:vMerge/>
            <w:shd w:val="clear" w:color="auto" w:fill="E0E0E0"/>
            <w:vAlign w:val="center"/>
          </w:tcPr>
          <w:p w:rsidR="00DC6096" w:rsidRPr="00752D92" w:rsidRDefault="00DC6096" w:rsidP="001428D4">
            <w:pPr>
              <w:spacing w:before="40" w:after="40"/>
              <w:rPr>
                <w:b/>
                <w:sz w:val="20"/>
                <w:szCs w:val="20"/>
              </w:rPr>
            </w:pPr>
          </w:p>
        </w:tc>
        <w:tc>
          <w:tcPr>
            <w:tcW w:w="440" w:type="pct"/>
            <w:vMerge/>
            <w:shd w:val="clear" w:color="auto" w:fill="E0E0E0"/>
            <w:vAlign w:val="center"/>
          </w:tcPr>
          <w:p w:rsidR="00DC6096" w:rsidRPr="00752D92" w:rsidRDefault="00DC6096" w:rsidP="001428D4">
            <w:pPr>
              <w:spacing w:before="40" w:after="40"/>
              <w:rPr>
                <w:b/>
                <w:sz w:val="20"/>
                <w:szCs w:val="20"/>
              </w:rPr>
            </w:pP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A1</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A2</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A3</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A4</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A5</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A6</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A7</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B1</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B2</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B3</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B4</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B5</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B6</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B7</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C1</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C2</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C3</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C4</w:t>
            </w:r>
          </w:p>
        </w:tc>
        <w:tc>
          <w:tcPr>
            <w:tcW w:w="192"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C5</w:t>
            </w:r>
          </w:p>
        </w:tc>
        <w:tc>
          <w:tcPr>
            <w:tcW w:w="259" w:type="pct"/>
            <w:shd w:val="clear" w:color="auto" w:fill="E0E0E0"/>
            <w:vAlign w:val="center"/>
          </w:tcPr>
          <w:p w:rsidR="00DC6096" w:rsidRPr="00752D92" w:rsidRDefault="00DC6096" w:rsidP="001428D4">
            <w:pPr>
              <w:spacing w:before="40" w:after="40"/>
              <w:jc w:val="center"/>
              <w:rPr>
                <w:b/>
                <w:sz w:val="20"/>
                <w:szCs w:val="20"/>
              </w:rPr>
            </w:pPr>
            <w:r w:rsidRPr="00752D92">
              <w:rPr>
                <w:b/>
                <w:sz w:val="20"/>
                <w:szCs w:val="20"/>
              </w:rPr>
              <w:t>C6</w:t>
            </w:r>
          </w:p>
        </w:tc>
      </w:tr>
      <w:tr w:rsidR="00DC6096" w:rsidRPr="00752D92" w:rsidTr="001428D4">
        <w:trPr>
          <w:cantSplit/>
          <w:trHeight w:val="460"/>
          <w:jc w:val="center"/>
        </w:trPr>
        <w:tc>
          <w:tcPr>
            <w:tcW w:w="653" w:type="pct"/>
            <w:vAlign w:val="center"/>
          </w:tcPr>
          <w:p w:rsidR="00DC6096" w:rsidRPr="00752D92" w:rsidRDefault="00DC6096" w:rsidP="001428D4">
            <w:pPr>
              <w:rPr>
                <w:sz w:val="20"/>
                <w:szCs w:val="20"/>
              </w:rPr>
            </w:pPr>
            <w:r w:rsidRPr="00752D92">
              <w:rPr>
                <w:sz w:val="20"/>
                <w:szCs w:val="20"/>
              </w:rPr>
              <w:t>Banking &amp; Financial Institutions</w:t>
            </w:r>
          </w:p>
        </w:tc>
        <w:tc>
          <w:tcPr>
            <w:tcW w:w="440" w:type="pct"/>
            <w:vAlign w:val="center"/>
          </w:tcPr>
          <w:p w:rsidR="00DC6096" w:rsidRPr="00752D92" w:rsidRDefault="00DC6096" w:rsidP="001428D4">
            <w:pPr>
              <w:rPr>
                <w:sz w:val="20"/>
                <w:szCs w:val="20"/>
              </w:rPr>
            </w:pPr>
            <w:r w:rsidRPr="00752D92">
              <w:rPr>
                <w:sz w:val="20"/>
                <w:szCs w:val="20"/>
              </w:rPr>
              <w:t>FIN4510</w:t>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259" w:type="pct"/>
          </w:tcPr>
          <w:p w:rsidR="00DC6096" w:rsidRPr="00752D92" w:rsidRDefault="00DC6096" w:rsidP="001428D4">
            <w:pPr>
              <w:jc w:val="center"/>
              <w:rPr>
                <w:rFonts w:ascii="Wingdings 2" w:hAnsi="Wingdings 2"/>
                <w:sz w:val="20"/>
                <w:szCs w:val="20"/>
              </w:rPr>
            </w:pPr>
          </w:p>
        </w:tc>
      </w:tr>
      <w:tr w:rsidR="00DC6096" w:rsidRPr="00752D92" w:rsidTr="001428D4">
        <w:trPr>
          <w:cantSplit/>
          <w:trHeight w:val="460"/>
          <w:jc w:val="center"/>
        </w:trPr>
        <w:tc>
          <w:tcPr>
            <w:tcW w:w="653" w:type="pct"/>
            <w:vAlign w:val="center"/>
          </w:tcPr>
          <w:p w:rsidR="00DC6096" w:rsidRPr="00752D92" w:rsidRDefault="00DC6096" w:rsidP="001428D4">
            <w:pPr>
              <w:rPr>
                <w:sz w:val="20"/>
                <w:szCs w:val="20"/>
              </w:rPr>
            </w:pPr>
            <w:r w:rsidRPr="00752D92">
              <w:rPr>
                <w:sz w:val="20"/>
                <w:szCs w:val="20"/>
              </w:rPr>
              <w:t>Financial Econometrics</w:t>
            </w:r>
          </w:p>
        </w:tc>
        <w:tc>
          <w:tcPr>
            <w:tcW w:w="440" w:type="pct"/>
            <w:vAlign w:val="center"/>
          </w:tcPr>
          <w:p w:rsidR="00DC6096" w:rsidRPr="00752D92" w:rsidRDefault="00DC6096" w:rsidP="001428D4">
            <w:pPr>
              <w:rPr>
                <w:sz w:val="20"/>
                <w:szCs w:val="20"/>
              </w:rPr>
            </w:pPr>
            <w:r w:rsidRPr="00752D92">
              <w:rPr>
                <w:sz w:val="20"/>
                <w:szCs w:val="20"/>
              </w:rPr>
              <w:t>FIN4570</w:t>
            </w: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259" w:type="pct"/>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r>
      <w:tr w:rsidR="00DC6096" w:rsidRPr="00752D92" w:rsidTr="001428D4">
        <w:trPr>
          <w:cantSplit/>
          <w:trHeight w:val="460"/>
          <w:jc w:val="center"/>
        </w:trPr>
        <w:tc>
          <w:tcPr>
            <w:tcW w:w="653" w:type="pct"/>
            <w:vAlign w:val="center"/>
          </w:tcPr>
          <w:p w:rsidR="00DC6096" w:rsidRPr="00752D92" w:rsidRDefault="00DC6096" w:rsidP="001428D4">
            <w:pPr>
              <w:rPr>
                <w:sz w:val="20"/>
                <w:szCs w:val="20"/>
              </w:rPr>
            </w:pPr>
            <w:r w:rsidRPr="00752D92">
              <w:rPr>
                <w:sz w:val="20"/>
                <w:szCs w:val="20"/>
              </w:rPr>
              <w:t>Islamic Finance and Banking</w:t>
            </w:r>
          </w:p>
        </w:tc>
        <w:tc>
          <w:tcPr>
            <w:tcW w:w="440" w:type="pct"/>
            <w:vAlign w:val="center"/>
          </w:tcPr>
          <w:p w:rsidR="00DC6096" w:rsidRPr="00752D92" w:rsidRDefault="00DC6096" w:rsidP="001428D4">
            <w:pPr>
              <w:rPr>
                <w:sz w:val="20"/>
                <w:szCs w:val="20"/>
              </w:rPr>
            </w:pPr>
            <w:r w:rsidRPr="00752D92">
              <w:rPr>
                <w:sz w:val="20"/>
                <w:szCs w:val="20"/>
              </w:rPr>
              <w:t>FIN4515</w:t>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259" w:type="pct"/>
          </w:tcPr>
          <w:p w:rsidR="00DC6096" w:rsidRPr="00752D92" w:rsidRDefault="00DC6096" w:rsidP="001428D4">
            <w:pPr>
              <w:jc w:val="center"/>
              <w:rPr>
                <w:rFonts w:ascii="Wingdings 2" w:hAnsi="Wingdings 2"/>
                <w:sz w:val="20"/>
                <w:szCs w:val="20"/>
              </w:rPr>
            </w:pPr>
          </w:p>
        </w:tc>
      </w:tr>
      <w:tr w:rsidR="00DC6096" w:rsidRPr="00752D92" w:rsidTr="001428D4">
        <w:trPr>
          <w:cantSplit/>
          <w:trHeight w:val="460"/>
          <w:jc w:val="center"/>
        </w:trPr>
        <w:tc>
          <w:tcPr>
            <w:tcW w:w="653" w:type="pct"/>
            <w:vAlign w:val="center"/>
          </w:tcPr>
          <w:p w:rsidR="00DC6096" w:rsidRPr="00752D92" w:rsidRDefault="00DC6096" w:rsidP="001428D4">
            <w:pPr>
              <w:rPr>
                <w:sz w:val="20"/>
                <w:szCs w:val="20"/>
              </w:rPr>
            </w:pPr>
            <w:r w:rsidRPr="00752D92">
              <w:rPr>
                <w:sz w:val="20"/>
                <w:szCs w:val="20"/>
              </w:rPr>
              <w:t>International Financial Regulation</w:t>
            </w:r>
          </w:p>
        </w:tc>
        <w:tc>
          <w:tcPr>
            <w:tcW w:w="440" w:type="pct"/>
            <w:vAlign w:val="center"/>
          </w:tcPr>
          <w:p w:rsidR="00DC6096" w:rsidRPr="00752D92" w:rsidRDefault="00DC6096" w:rsidP="001428D4">
            <w:pPr>
              <w:rPr>
                <w:sz w:val="20"/>
                <w:szCs w:val="20"/>
              </w:rPr>
            </w:pPr>
            <w:r w:rsidRPr="00752D92">
              <w:rPr>
                <w:sz w:val="20"/>
                <w:szCs w:val="20"/>
              </w:rPr>
              <w:t>FIN4530</w:t>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259" w:type="pct"/>
          </w:tcPr>
          <w:p w:rsidR="00DC6096" w:rsidRPr="00752D92" w:rsidRDefault="00DC6096" w:rsidP="001428D4">
            <w:pPr>
              <w:jc w:val="center"/>
              <w:rPr>
                <w:rFonts w:ascii="Wingdings 2" w:hAnsi="Wingdings 2"/>
                <w:sz w:val="20"/>
                <w:szCs w:val="20"/>
              </w:rPr>
            </w:pPr>
          </w:p>
        </w:tc>
      </w:tr>
      <w:tr w:rsidR="00DC6096" w:rsidRPr="00752D92" w:rsidTr="001428D4">
        <w:trPr>
          <w:cantSplit/>
          <w:trHeight w:val="460"/>
          <w:jc w:val="center"/>
        </w:trPr>
        <w:tc>
          <w:tcPr>
            <w:tcW w:w="653" w:type="pct"/>
            <w:vAlign w:val="center"/>
          </w:tcPr>
          <w:p w:rsidR="00DC6096" w:rsidRPr="00752D92" w:rsidRDefault="00DC6096" w:rsidP="001428D4">
            <w:pPr>
              <w:rPr>
                <w:sz w:val="20"/>
                <w:szCs w:val="20"/>
              </w:rPr>
            </w:pPr>
            <w:r w:rsidRPr="00752D92">
              <w:rPr>
                <w:sz w:val="20"/>
                <w:szCs w:val="20"/>
              </w:rPr>
              <w:t>Financial Risk Management</w:t>
            </w:r>
          </w:p>
        </w:tc>
        <w:tc>
          <w:tcPr>
            <w:tcW w:w="440" w:type="pct"/>
            <w:vAlign w:val="center"/>
          </w:tcPr>
          <w:p w:rsidR="00DC6096" w:rsidRPr="00752D92" w:rsidRDefault="00DC6096" w:rsidP="001428D4">
            <w:pPr>
              <w:rPr>
                <w:sz w:val="20"/>
                <w:szCs w:val="20"/>
              </w:rPr>
            </w:pPr>
            <w:r w:rsidRPr="00752D92">
              <w:rPr>
                <w:sz w:val="20"/>
                <w:szCs w:val="20"/>
              </w:rPr>
              <w:t>FIN4540</w:t>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sz w:val="20"/>
                <w:szCs w:val="20"/>
              </w:rPr>
            </w:pP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259" w:type="pct"/>
          </w:tcPr>
          <w:p w:rsidR="00DC6096" w:rsidRPr="00752D92" w:rsidRDefault="00DC6096" w:rsidP="001428D4">
            <w:pPr>
              <w:jc w:val="center"/>
              <w:rPr>
                <w:rFonts w:ascii="Wingdings 2" w:hAnsi="Wingdings 2"/>
                <w:sz w:val="20"/>
                <w:szCs w:val="20"/>
              </w:rPr>
            </w:pPr>
          </w:p>
        </w:tc>
      </w:tr>
      <w:tr w:rsidR="00DC6096" w:rsidRPr="00752D92" w:rsidTr="001428D4">
        <w:trPr>
          <w:cantSplit/>
          <w:trHeight w:val="460"/>
          <w:jc w:val="center"/>
        </w:trPr>
        <w:tc>
          <w:tcPr>
            <w:tcW w:w="653" w:type="pct"/>
            <w:vAlign w:val="center"/>
          </w:tcPr>
          <w:p w:rsidR="00DC6096" w:rsidRPr="00752D92" w:rsidRDefault="00DC6096" w:rsidP="001428D4">
            <w:pPr>
              <w:rPr>
                <w:sz w:val="20"/>
                <w:szCs w:val="20"/>
              </w:rPr>
            </w:pPr>
            <w:r w:rsidRPr="00752D92">
              <w:rPr>
                <w:sz w:val="20"/>
                <w:szCs w:val="20"/>
              </w:rPr>
              <w:t>Applied Corporate Finance</w:t>
            </w:r>
          </w:p>
        </w:tc>
        <w:tc>
          <w:tcPr>
            <w:tcW w:w="440" w:type="pct"/>
            <w:vAlign w:val="center"/>
          </w:tcPr>
          <w:p w:rsidR="00DC6096" w:rsidRPr="00752D92" w:rsidRDefault="00DC6096" w:rsidP="001428D4">
            <w:pPr>
              <w:rPr>
                <w:sz w:val="20"/>
                <w:szCs w:val="20"/>
              </w:rPr>
            </w:pPr>
            <w:r w:rsidRPr="00752D92">
              <w:rPr>
                <w:sz w:val="20"/>
                <w:szCs w:val="20"/>
              </w:rPr>
              <w:t>FIN4550</w:t>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259" w:type="pct"/>
          </w:tcPr>
          <w:p w:rsidR="00DC6096" w:rsidRPr="00752D92" w:rsidRDefault="00DC6096" w:rsidP="001428D4">
            <w:pPr>
              <w:jc w:val="center"/>
              <w:rPr>
                <w:rFonts w:ascii="Wingdings 2" w:hAnsi="Wingdings 2"/>
                <w:sz w:val="20"/>
                <w:szCs w:val="20"/>
              </w:rPr>
            </w:pPr>
          </w:p>
        </w:tc>
      </w:tr>
      <w:tr w:rsidR="00DC6096" w:rsidRPr="00752D92" w:rsidTr="001428D4">
        <w:trPr>
          <w:cantSplit/>
          <w:trHeight w:val="460"/>
          <w:jc w:val="center"/>
        </w:trPr>
        <w:tc>
          <w:tcPr>
            <w:tcW w:w="653" w:type="pct"/>
            <w:vAlign w:val="center"/>
          </w:tcPr>
          <w:p w:rsidR="00DC6096" w:rsidRPr="00752D92" w:rsidRDefault="00DC6096" w:rsidP="001428D4">
            <w:pPr>
              <w:rPr>
                <w:sz w:val="20"/>
                <w:szCs w:val="20"/>
              </w:rPr>
            </w:pPr>
            <w:r w:rsidRPr="00752D92">
              <w:rPr>
                <w:sz w:val="20"/>
                <w:szCs w:val="20"/>
              </w:rPr>
              <w:t>Financial Markets &amp; Derivatives</w:t>
            </w:r>
          </w:p>
        </w:tc>
        <w:tc>
          <w:tcPr>
            <w:tcW w:w="440" w:type="pct"/>
            <w:vAlign w:val="center"/>
          </w:tcPr>
          <w:p w:rsidR="00DC6096" w:rsidRPr="00752D92" w:rsidRDefault="00DC6096" w:rsidP="001428D4">
            <w:pPr>
              <w:rPr>
                <w:sz w:val="20"/>
                <w:szCs w:val="20"/>
              </w:rPr>
            </w:pPr>
            <w:r w:rsidRPr="00752D92">
              <w:rPr>
                <w:sz w:val="20"/>
                <w:szCs w:val="20"/>
              </w:rPr>
              <w:t>FIN4560</w:t>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192" w:type="pct"/>
          </w:tcPr>
          <w:p w:rsidR="00DC6096" w:rsidRPr="00752D92" w:rsidRDefault="00DC6096" w:rsidP="001428D4">
            <w:pPr>
              <w:jc w:val="center"/>
              <w:rPr>
                <w:rFonts w:ascii="Wingdings 2" w:hAnsi="Wingdings 2"/>
                <w:sz w:val="20"/>
                <w:szCs w:val="20"/>
              </w:rPr>
            </w:pPr>
          </w:p>
        </w:tc>
        <w:tc>
          <w:tcPr>
            <w:tcW w:w="259" w:type="pct"/>
          </w:tcPr>
          <w:p w:rsidR="00DC6096" w:rsidRPr="00752D92" w:rsidRDefault="00DC6096" w:rsidP="001428D4">
            <w:pPr>
              <w:jc w:val="center"/>
              <w:rPr>
                <w:rFonts w:ascii="Wingdings 2" w:hAnsi="Wingdings 2"/>
                <w:sz w:val="20"/>
                <w:szCs w:val="20"/>
              </w:rPr>
            </w:pPr>
          </w:p>
        </w:tc>
      </w:tr>
      <w:tr w:rsidR="00DC6096" w:rsidRPr="00752D92" w:rsidTr="001428D4">
        <w:trPr>
          <w:cantSplit/>
          <w:trHeight w:val="460"/>
          <w:jc w:val="center"/>
        </w:trPr>
        <w:tc>
          <w:tcPr>
            <w:tcW w:w="653" w:type="pct"/>
            <w:vAlign w:val="center"/>
          </w:tcPr>
          <w:p w:rsidR="00DC6096" w:rsidRPr="00752D92" w:rsidRDefault="00DC6096" w:rsidP="001428D4">
            <w:pPr>
              <w:rPr>
                <w:sz w:val="20"/>
                <w:szCs w:val="20"/>
              </w:rPr>
            </w:pPr>
            <w:r w:rsidRPr="00752D92">
              <w:rPr>
                <w:sz w:val="20"/>
                <w:szCs w:val="20"/>
              </w:rPr>
              <w:t>Dissertation</w:t>
            </w:r>
          </w:p>
        </w:tc>
        <w:tc>
          <w:tcPr>
            <w:tcW w:w="440" w:type="pct"/>
            <w:vAlign w:val="center"/>
          </w:tcPr>
          <w:p w:rsidR="00DC6096" w:rsidRPr="00752D92" w:rsidRDefault="00DC6096" w:rsidP="001428D4">
            <w:pPr>
              <w:rPr>
                <w:sz w:val="20"/>
                <w:szCs w:val="20"/>
              </w:rPr>
            </w:pPr>
            <w:r w:rsidRPr="00752D92">
              <w:rPr>
                <w:sz w:val="20"/>
                <w:szCs w:val="20"/>
              </w:rPr>
              <w:t>FIN4430</w:t>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vAlign w:val="center"/>
          </w:tcPr>
          <w:p w:rsidR="00DC6096" w:rsidRPr="00752D92" w:rsidRDefault="00DC6096" w:rsidP="001428D4">
            <w:pPr>
              <w:jc w:val="center"/>
              <w:rPr>
                <w:sz w:val="20"/>
                <w:szCs w:val="20"/>
              </w:rPr>
            </w:pPr>
            <w:r w:rsidRPr="00752D92">
              <w:rPr>
                <w:rFonts w:ascii="Wingdings 2" w:hAnsi="Wingdings 2"/>
                <w:sz w:val="20"/>
                <w:szCs w:val="20"/>
              </w:rPr>
              <w:sym w:font="Wingdings" w:char="F0FC"/>
            </w:r>
          </w:p>
        </w:tc>
        <w:tc>
          <w:tcPr>
            <w:tcW w:w="192" w:type="pct"/>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192" w:type="pct"/>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c>
          <w:tcPr>
            <w:tcW w:w="259" w:type="pct"/>
          </w:tcPr>
          <w:p w:rsidR="00DC6096" w:rsidRPr="00752D92" w:rsidRDefault="00DC6096" w:rsidP="001428D4">
            <w:pPr>
              <w:jc w:val="center"/>
              <w:rPr>
                <w:rFonts w:ascii="Wingdings 2" w:hAnsi="Wingdings 2"/>
                <w:sz w:val="20"/>
                <w:szCs w:val="20"/>
              </w:rPr>
            </w:pPr>
            <w:r w:rsidRPr="00752D92">
              <w:rPr>
                <w:rFonts w:ascii="Wingdings 2" w:hAnsi="Wingdings 2"/>
                <w:sz w:val="20"/>
                <w:szCs w:val="20"/>
              </w:rPr>
              <w:sym w:font="Wingdings" w:char="F0FC"/>
            </w:r>
          </w:p>
        </w:tc>
      </w:tr>
    </w:tbl>
    <w:p w:rsidR="00DC6096" w:rsidRPr="00964B0A" w:rsidRDefault="00DC6096" w:rsidP="00DC6096">
      <w:pPr>
        <w:jc w:val="center"/>
        <w:rPr>
          <w:b/>
          <w:sz w:val="24"/>
          <w:szCs w:val="24"/>
        </w:rPr>
      </w:pPr>
      <w:r w:rsidRPr="00FE7AAA">
        <w:rPr>
          <w:b/>
          <w:sz w:val="24"/>
          <w:szCs w:val="24"/>
        </w:rPr>
        <w:t>MSc Banking &amp; Finance summative assessment schedule</w:t>
      </w:r>
    </w:p>
    <w:tbl>
      <w:tblPr>
        <w:tblpPr w:leftFromText="180" w:rightFromText="180" w:horzAnchor="margin" w:tblpX="-101" w:tblpY="413"/>
        <w:tblW w:w="5086" w:type="pct"/>
        <w:shd w:val="clear" w:color="auto" w:fill="FFFFFF" w:themeFill="background1"/>
        <w:tblLayout w:type="fixed"/>
        <w:tblLook w:val="04A0" w:firstRow="1" w:lastRow="0" w:firstColumn="1" w:lastColumn="0" w:noHBand="0" w:noVBand="1"/>
      </w:tblPr>
      <w:tblGrid>
        <w:gridCol w:w="988"/>
        <w:gridCol w:w="253"/>
        <w:gridCol w:w="257"/>
        <w:gridCol w:w="255"/>
        <w:gridCol w:w="256"/>
        <w:gridCol w:w="248"/>
        <w:gridCol w:w="256"/>
        <w:gridCol w:w="510"/>
        <w:gridCol w:w="256"/>
        <w:gridCol w:w="254"/>
        <w:gridCol w:w="511"/>
        <w:gridCol w:w="510"/>
        <w:gridCol w:w="506"/>
        <w:gridCol w:w="254"/>
        <w:gridCol w:w="254"/>
        <w:gridCol w:w="254"/>
        <w:gridCol w:w="517"/>
        <w:gridCol w:w="256"/>
        <w:gridCol w:w="254"/>
        <w:gridCol w:w="256"/>
        <w:gridCol w:w="256"/>
        <w:gridCol w:w="256"/>
        <w:gridCol w:w="254"/>
        <w:gridCol w:w="511"/>
        <w:gridCol w:w="254"/>
        <w:gridCol w:w="765"/>
      </w:tblGrid>
      <w:tr w:rsidR="00DC6096" w:rsidRPr="00D565CF" w:rsidTr="001428D4">
        <w:trPr>
          <w:cantSplit/>
          <w:trHeight w:val="315"/>
        </w:trPr>
        <w:tc>
          <w:tcPr>
            <w:tcW w:w="526" w:type="pct"/>
            <w:shd w:val="clear" w:color="auto" w:fill="FFFFFF" w:themeFill="background1"/>
            <w:vAlign w:val="center"/>
            <w:hideMark/>
          </w:tcPr>
          <w:p w:rsidR="00DC6096" w:rsidRPr="00B54F74" w:rsidRDefault="00DC6096" w:rsidP="001428D4">
            <w:pPr>
              <w:rPr>
                <w:rFonts w:eastAsia="Times New Roman"/>
                <w:sz w:val="18"/>
                <w:szCs w:val="18"/>
              </w:rPr>
            </w:pPr>
          </w:p>
          <w:p w:rsidR="00DC6096" w:rsidRPr="00B54F74" w:rsidRDefault="00DC6096" w:rsidP="001428D4">
            <w:pPr>
              <w:rPr>
                <w:rFonts w:eastAsia="Times New Roman"/>
                <w:sz w:val="18"/>
                <w:szCs w:val="18"/>
              </w:rPr>
            </w:pPr>
          </w:p>
        </w:tc>
        <w:tc>
          <w:tcPr>
            <w:tcW w:w="4474" w:type="pct"/>
            <w:gridSpan w:val="25"/>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Week</w:t>
            </w:r>
          </w:p>
        </w:tc>
      </w:tr>
      <w:tr w:rsidR="00DC6096" w:rsidRPr="00D565CF" w:rsidTr="001428D4">
        <w:trPr>
          <w:cantSplit/>
          <w:trHeight w:val="315"/>
        </w:trPr>
        <w:tc>
          <w:tcPr>
            <w:tcW w:w="526" w:type="pct"/>
            <w:tcBorders>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left w:val="single" w:sz="4" w:space="0" w:color="auto"/>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1</w:t>
            </w:r>
          </w:p>
        </w:tc>
        <w:tc>
          <w:tcPr>
            <w:tcW w:w="137"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2</w:t>
            </w:r>
          </w:p>
        </w:tc>
        <w:tc>
          <w:tcPr>
            <w:tcW w:w="136"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3</w:t>
            </w:r>
          </w:p>
        </w:tc>
        <w:tc>
          <w:tcPr>
            <w:tcW w:w="136"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4</w:t>
            </w:r>
          </w:p>
        </w:tc>
        <w:tc>
          <w:tcPr>
            <w:tcW w:w="132"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5</w:t>
            </w:r>
          </w:p>
        </w:tc>
        <w:tc>
          <w:tcPr>
            <w:tcW w:w="136"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6</w:t>
            </w:r>
          </w:p>
        </w:tc>
        <w:tc>
          <w:tcPr>
            <w:tcW w:w="271"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7</w:t>
            </w:r>
          </w:p>
        </w:tc>
        <w:tc>
          <w:tcPr>
            <w:tcW w:w="136"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8</w:t>
            </w:r>
          </w:p>
        </w:tc>
        <w:tc>
          <w:tcPr>
            <w:tcW w:w="135"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9</w:t>
            </w:r>
          </w:p>
        </w:tc>
        <w:tc>
          <w:tcPr>
            <w:tcW w:w="272"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10</w:t>
            </w:r>
          </w:p>
        </w:tc>
        <w:tc>
          <w:tcPr>
            <w:tcW w:w="271"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11</w:t>
            </w:r>
          </w:p>
        </w:tc>
        <w:tc>
          <w:tcPr>
            <w:tcW w:w="269"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12</w:t>
            </w:r>
          </w:p>
        </w:tc>
        <w:tc>
          <w:tcPr>
            <w:tcW w:w="135"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13</w:t>
            </w:r>
          </w:p>
        </w:tc>
        <w:tc>
          <w:tcPr>
            <w:tcW w:w="135"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14</w:t>
            </w:r>
          </w:p>
        </w:tc>
        <w:tc>
          <w:tcPr>
            <w:tcW w:w="135"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15</w:t>
            </w:r>
          </w:p>
        </w:tc>
        <w:tc>
          <w:tcPr>
            <w:tcW w:w="275"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16</w:t>
            </w:r>
          </w:p>
        </w:tc>
        <w:tc>
          <w:tcPr>
            <w:tcW w:w="136"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17</w:t>
            </w:r>
          </w:p>
        </w:tc>
        <w:tc>
          <w:tcPr>
            <w:tcW w:w="135"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18</w:t>
            </w:r>
          </w:p>
        </w:tc>
        <w:tc>
          <w:tcPr>
            <w:tcW w:w="136"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19</w:t>
            </w:r>
          </w:p>
        </w:tc>
        <w:tc>
          <w:tcPr>
            <w:tcW w:w="136"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20</w:t>
            </w:r>
          </w:p>
        </w:tc>
        <w:tc>
          <w:tcPr>
            <w:tcW w:w="136"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21</w:t>
            </w:r>
          </w:p>
        </w:tc>
        <w:tc>
          <w:tcPr>
            <w:tcW w:w="135"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22</w:t>
            </w:r>
          </w:p>
        </w:tc>
        <w:tc>
          <w:tcPr>
            <w:tcW w:w="272"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23</w:t>
            </w:r>
          </w:p>
        </w:tc>
        <w:tc>
          <w:tcPr>
            <w:tcW w:w="135"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24</w:t>
            </w:r>
          </w:p>
        </w:tc>
        <w:tc>
          <w:tcPr>
            <w:tcW w:w="407" w:type="pct"/>
            <w:tcBorders>
              <w:bottom w:val="single" w:sz="4" w:space="0" w:color="auto"/>
            </w:tcBorders>
            <w:shd w:val="clear" w:color="auto" w:fill="FFFFFF" w:themeFill="background1"/>
            <w:vAlign w:val="center"/>
            <w:hideMark/>
          </w:tcPr>
          <w:p w:rsidR="00DC6096" w:rsidRPr="00B54F74" w:rsidRDefault="00DC6096" w:rsidP="001428D4">
            <w:pPr>
              <w:jc w:val="center"/>
              <w:rPr>
                <w:rFonts w:eastAsia="Times New Roman"/>
                <w:sz w:val="18"/>
                <w:szCs w:val="18"/>
              </w:rPr>
            </w:pPr>
            <w:r w:rsidRPr="00B54F74">
              <w:rPr>
                <w:rFonts w:eastAsia="Times New Roman"/>
                <w:sz w:val="18"/>
                <w:szCs w:val="18"/>
              </w:rPr>
              <w:t>Exam</w:t>
            </w:r>
          </w:p>
          <w:p w:rsidR="00DC6096" w:rsidRPr="00B54F74" w:rsidRDefault="00DC6096" w:rsidP="001428D4">
            <w:pPr>
              <w:jc w:val="center"/>
              <w:rPr>
                <w:rFonts w:eastAsia="Times New Roman"/>
                <w:sz w:val="18"/>
                <w:szCs w:val="18"/>
              </w:rPr>
            </w:pPr>
            <w:r w:rsidRPr="00B54F74">
              <w:rPr>
                <w:rFonts w:eastAsia="Times New Roman"/>
                <w:sz w:val="18"/>
                <w:szCs w:val="18"/>
              </w:rPr>
              <w:t>period</w:t>
            </w:r>
          </w:p>
        </w:tc>
      </w:tr>
      <w:tr w:rsidR="00DC6096" w:rsidRPr="00D565CF" w:rsidTr="001428D4">
        <w:trPr>
          <w:trHeight w:val="390"/>
        </w:trPr>
        <w:tc>
          <w:tcPr>
            <w:tcW w:w="526" w:type="pct"/>
            <w:tcBorders>
              <w:top w:val="single" w:sz="4" w:space="0" w:color="auto"/>
              <w:right w:val="single" w:sz="4" w:space="0" w:color="auto"/>
            </w:tcBorders>
            <w:shd w:val="clear" w:color="auto" w:fill="FFFFFF" w:themeFill="background1"/>
            <w:vAlign w:val="center"/>
            <w:hideMark/>
          </w:tcPr>
          <w:p w:rsidR="00DC6096" w:rsidRPr="00B54F74" w:rsidRDefault="00DC6096" w:rsidP="001428D4">
            <w:pPr>
              <w:rPr>
                <w:sz w:val="18"/>
                <w:szCs w:val="18"/>
              </w:rPr>
            </w:pPr>
            <w:r w:rsidRPr="00B54F74">
              <w:rPr>
                <w:sz w:val="18"/>
                <w:szCs w:val="18"/>
              </w:rPr>
              <w:t>FIN4510</w:t>
            </w: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r w:rsidRPr="00B54F74">
              <w:rPr>
                <w:rFonts w:eastAsia="Times New Roman"/>
                <w:sz w:val="18"/>
                <w:szCs w:val="18"/>
              </w:rPr>
              <w:t>P 10</w:t>
            </w: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r w:rsidRPr="00B54F74">
              <w:rPr>
                <w:rFonts w:eastAsia="Times New Roman"/>
                <w:sz w:val="18"/>
                <w:szCs w:val="18"/>
              </w:rPr>
              <w:t>T 30</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r w:rsidRPr="00B54F74">
              <w:rPr>
                <w:rFonts w:eastAsia="Times New Roman"/>
                <w:sz w:val="18"/>
                <w:szCs w:val="18"/>
              </w:rPr>
              <w:t>E</w:t>
            </w:r>
          </w:p>
          <w:p w:rsidR="00DC6096" w:rsidRPr="00B54F74" w:rsidRDefault="00DC6096" w:rsidP="001428D4">
            <w:pPr>
              <w:rPr>
                <w:rFonts w:eastAsia="Times New Roman"/>
                <w:sz w:val="18"/>
                <w:szCs w:val="18"/>
              </w:rPr>
            </w:pPr>
            <w:r w:rsidRPr="00B54F74">
              <w:rPr>
                <w:rFonts w:eastAsia="Times New Roman"/>
                <w:sz w:val="18"/>
                <w:szCs w:val="18"/>
              </w:rPr>
              <w:t>60</w:t>
            </w:r>
          </w:p>
        </w:tc>
      </w:tr>
      <w:tr w:rsidR="00DC6096" w:rsidRPr="00D565CF" w:rsidTr="001428D4">
        <w:trPr>
          <w:trHeight w:val="390"/>
        </w:trPr>
        <w:tc>
          <w:tcPr>
            <w:tcW w:w="526" w:type="pct"/>
            <w:tcBorders>
              <w:right w:val="single" w:sz="4" w:space="0" w:color="auto"/>
            </w:tcBorders>
            <w:shd w:val="clear" w:color="auto" w:fill="FFFFFF" w:themeFill="background1"/>
            <w:vAlign w:val="center"/>
            <w:hideMark/>
          </w:tcPr>
          <w:p w:rsidR="00DC6096" w:rsidRPr="00B54F74" w:rsidRDefault="00DC6096" w:rsidP="001428D4">
            <w:pPr>
              <w:rPr>
                <w:sz w:val="18"/>
                <w:szCs w:val="18"/>
              </w:rPr>
            </w:pPr>
            <w:r w:rsidRPr="00B54F74">
              <w:rPr>
                <w:sz w:val="18"/>
                <w:szCs w:val="18"/>
              </w:rPr>
              <w:t>FIN4570</w:t>
            </w: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r w:rsidRPr="00B54F74">
              <w:rPr>
                <w:rFonts w:eastAsia="Times New Roman"/>
                <w:sz w:val="18"/>
                <w:szCs w:val="18"/>
              </w:rPr>
              <w:t>T 25</w:t>
            </w: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r w:rsidRPr="00B54F74">
              <w:rPr>
                <w:rFonts w:eastAsia="Times New Roman"/>
                <w:sz w:val="18"/>
                <w:szCs w:val="18"/>
              </w:rPr>
              <w:t>A 25</w:t>
            </w: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r w:rsidRPr="00B54F74">
              <w:rPr>
                <w:rFonts w:eastAsia="Times New Roman"/>
                <w:sz w:val="18"/>
                <w:szCs w:val="18"/>
              </w:rPr>
              <w:t>E</w:t>
            </w:r>
          </w:p>
          <w:p w:rsidR="00DC6096" w:rsidRPr="00B54F74" w:rsidRDefault="00DC6096" w:rsidP="001428D4">
            <w:pPr>
              <w:rPr>
                <w:rFonts w:eastAsia="Times New Roman"/>
                <w:sz w:val="18"/>
                <w:szCs w:val="18"/>
              </w:rPr>
            </w:pPr>
            <w:r w:rsidRPr="00B54F74">
              <w:rPr>
                <w:rFonts w:eastAsia="Times New Roman"/>
                <w:sz w:val="18"/>
                <w:szCs w:val="18"/>
              </w:rPr>
              <w:t>50</w:t>
            </w:r>
          </w:p>
        </w:tc>
      </w:tr>
      <w:tr w:rsidR="00DC6096" w:rsidRPr="00D565CF" w:rsidTr="001428D4">
        <w:trPr>
          <w:trHeight w:val="390"/>
        </w:trPr>
        <w:tc>
          <w:tcPr>
            <w:tcW w:w="526" w:type="pct"/>
            <w:tcBorders>
              <w:right w:val="single" w:sz="4" w:space="0" w:color="auto"/>
            </w:tcBorders>
            <w:shd w:val="clear" w:color="auto" w:fill="FFFFFF" w:themeFill="background1"/>
            <w:vAlign w:val="center"/>
            <w:hideMark/>
          </w:tcPr>
          <w:p w:rsidR="00DC6096" w:rsidRPr="00B54F74" w:rsidRDefault="00DC6096" w:rsidP="001428D4">
            <w:pPr>
              <w:rPr>
                <w:sz w:val="18"/>
                <w:szCs w:val="18"/>
              </w:rPr>
            </w:pPr>
            <w:r w:rsidRPr="00B54F74">
              <w:rPr>
                <w:sz w:val="18"/>
                <w:szCs w:val="18"/>
              </w:rPr>
              <w:t>FIN4540</w:t>
            </w: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r w:rsidRPr="00B54F74">
              <w:rPr>
                <w:rFonts w:eastAsia="Times New Roman"/>
                <w:sz w:val="18"/>
                <w:szCs w:val="18"/>
              </w:rPr>
              <w:t>T 50</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r w:rsidRPr="00B54F74">
              <w:rPr>
                <w:rFonts w:eastAsia="Times New Roman"/>
                <w:sz w:val="18"/>
                <w:szCs w:val="18"/>
              </w:rPr>
              <w:t>T 50</w:t>
            </w: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r>
      <w:tr w:rsidR="00DC6096" w:rsidRPr="005E0EB5" w:rsidTr="001428D4">
        <w:trPr>
          <w:trHeight w:val="390"/>
        </w:trPr>
        <w:tc>
          <w:tcPr>
            <w:tcW w:w="526" w:type="pct"/>
            <w:tcBorders>
              <w:bottom w:val="single" w:sz="4" w:space="0" w:color="auto"/>
              <w:right w:val="single" w:sz="4" w:space="0" w:color="auto"/>
            </w:tcBorders>
            <w:shd w:val="clear" w:color="auto" w:fill="FFFFFF" w:themeFill="background1"/>
            <w:vAlign w:val="center"/>
            <w:hideMark/>
          </w:tcPr>
          <w:p w:rsidR="00DC6096" w:rsidRPr="00B54F74" w:rsidRDefault="00DC6096" w:rsidP="001428D4">
            <w:pPr>
              <w:rPr>
                <w:sz w:val="18"/>
                <w:szCs w:val="18"/>
              </w:rPr>
            </w:pPr>
            <w:r w:rsidRPr="00B54F74">
              <w:rPr>
                <w:sz w:val="18"/>
                <w:szCs w:val="18"/>
              </w:rPr>
              <w:t>FIN4560</w:t>
            </w: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8F3F94" w:rsidRDefault="00DC6096" w:rsidP="001428D4">
            <w:pPr>
              <w:rPr>
                <w:rFonts w:eastAsia="Times New Roman"/>
                <w:sz w:val="18"/>
                <w:szCs w:val="18"/>
              </w:rPr>
            </w:pPr>
          </w:p>
        </w:tc>
        <w:tc>
          <w:tcPr>
            <w:tcW w:w="1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r w:rsidRPr="00B54F74">
              <w:rPr>
                <w:rFonts w:eastAsia="Times New Roman"/>
                <w:sz w:val="18"/>
                <w:szCs w:val="18"/>
              </w:rPr>
              <w:t>A50</w:t>
            </w: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r w:rsidRPr="00B54F74">
              <w:rPr>
                <w:rFonts w:eastAsia="Times New Roman"/>
                <w:sz w:val="18"/>
                <w:szCs w:val="18"/>
              </w:rPr>
              <w:t>E</w:t>
            </w:r>
          </w:p>
          <w:p w:rsidR="00DC6096" w:rsidRPr="00B54F74" w:rsidRDefault="00DC6096" w:rsidP="001428D4">
            <w:pPr>
              <w:rPr>
                <w:rFonts w:eastAsia="Times New Roman"/>
                <w:sz w:val="18"/>
                <w:szCs w:val="18"/>
              </w:rPr>
            </w:pPr>
            <w:r w:rsidRPr="00B54F74">
              <w:rPr>
                <w:rFonts w:eastAsia="Times New Roman"/>
                <w:sz w:val="18"/>
                <w:szCs w:val="18"/>
              </w:rPr>
              <w:t xml:space="preserve"> 50</w:t>
            </w:r>
          </w:p>
        </w:tc>
      </w:tr>
      <w:tr w:rsidR="00DC6096" w:rsidRPr="00D565CF" w:rsidTr="001428D4">
        <w:trPr>
          <w:trHeight w:val="315"/>
        </w:trPr>
        <w:tc>
          <w:tcPr>
            <w:tcW w:w="526"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7"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2"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1"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2"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1"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69"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5"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2"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407" w:type="pct"/>
            <w:tcBorders>
              <w:top w:val="single" w:sz="4" w:space="0" w:color="auto"/>
              <w:bottom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r>
      <w:tr w:rsidR="00DC6096" w:rsidRPr="00D565CF" w:rsidTr="001428D4">
        <w:trPr>
          <w:trHeight w:val="390"/>
        </w:trPr>
        <w:tc>
          <w:tcPr>
            <w:tcW w:w="526" w:type="pct"/>
            <w:tcBorders>
              <w:top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r w:rsidRPr="00B54F74">
              <w:rPr>
                <w:rFonts w:eastAsia="Times New Roman"/>
                <w:sz w:val="18"/>
                <w:szCs w:val="18"/>
              </w:rPr>
              <w:t>FIN4430</w:t>
            </w: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2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1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p>
        </w:tc>
        <w:tc>
          <w:tcPr>
            <w:tcW w:w="4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6096" w:rsidRPr="00B54F74" w:rsidRDefault="00DC6096" w:rsidP="001428D4">
            <w:pPr>
              <w:rPr>
                <w:rFonts w:eastAsia="Times New Roman"/>
                <w:sz w:val="18"/>
                <w:szCs w:val="18"/>
              </w:rPr>
            </w:pPr>
            <w:r w:rsidRPr="00B54F74">
              <w:rPr>
                <w:rFonts w:eastAsia="Times New Roman"/>
                <w:sz w:val="18"/>
                <w:szCs w:val="18"/>
              </w:rPr>
              <w:t>A</w:t>
            </w:r>
          </w:p>
          <w:p w:rsidR="00DC6096" w:rsidRPr="00B54F74" w:rsidRDefault="00DC6096" w:rsidP="001428D4">
            <w:pPr>
              <w:rPr>
                <w:rFonts w:eastAsia="Times New Roman"/>
                <w:sz w:val="18"/>
                <w:szCs w:val="18"/>
              </w:rPr>
            </w:pPr>
            <w:r w:rsidRPr="00B54F74">
              <w:rPr>
                <w:rFonts w:eastAsia="Times New Roman"/>
                <w:sz w:val="18"/>
                <w:szCs w:val="18"/>
              </w:rPr>
              <w:t>100</w:t>
            </w:r>
          </w:p>
        </w:tc>
      </w:tr>
    </w:tbl>
    <w:p w:rsidR="00DC6096" w:rsidRDefault="00DC6096" w:rsidP="00DC6096"/>
    <w:p w:rsidR="00DC6096" w:rsidRDefault="00DC6096" w:rsidP="00DC6096">
      <w:pPr>
        <w:spacing w:after="120"/>
        <w:jc w:val="center"/>
      </w:pPr>
      <w:r w:rsidRPr="00D565CF">
        <w:t>A</w:t>
      </w:r>
      <w:r>
        <w:t xml:space="preserve"> = </w:t>
      </w:r>
      <w:r w:rsidRPr="00D565CF">
        <w:t>Assignment</w:t>
      </w:r>
      <w:r>
        <w:t xml:space="preserve">, </w:t>
      </w:r>
      <w:r w:rsidRPr="00D565CF">
        <w:t>E</w:t>
      </w:r>
      <w:r>
        <w:t xml:space="preserve"> = </w:t>
      </w:r>
      <w:r w:rsidRPr="00D565CF">
        <w:t>Exam</w:t>
      </w:r>
      <w:r>
        <w:t>,</w:t>
      </w:r>
      <w:r w:rsidRPr="00E176E5">
        <w:t xml:space="preserve"> </w:t>
      </w:r>
      <w:r>
        <w:t xml:space="preserve">G = Group assignment, O = Online test, P = Presentation, </w:t>
      </w:r>
      <w:r w:rsidRPr="00D565CF">
        <w:t>T</w:t>
      </w:r>
      <w:r>
        <w:t xml:space="preserve"> = In-class t</w:t>
      </w:r>
      <w:r w:rsidRPr="00D565CF">
        <w:t>est</w:t>
      </w:r>
    </w:p>
    <w:p w:rsidR="00DC6096" w:rsidRPr="00B54F74" w:rsidRDefault="00DC6096" w:rsidP="00DC6096">
      <w:pPr>
        <w:spacing w:after="120"/>
        <w:jc w:val="center"/>
        <w:rPr>
          <w:b/>
        </w:rPr>
      </w:pPr>
      <w:r w:rsidRPr="00B54F74">
        <w:rPr>
          <w:b/>
        </w:rPr>
        <w:t>Only core modules are shown</w:t>
      </w:r>
    </w:p>
    <w:p w:rsidR="00DC6096" w:rsidRDefault="00DC6096" w:rsidP="00DC6096">
      <w:pPr>
        <w:spacing w:after="120"/>
        <w:jc w:val="center"/>
        <w:rPr>
          <w:b/>
          <w:bCs/>
          <w:color w:val="FF0000"/>
          <w:kern w:val="1"/>
          <w:sz w:val="40"/>
          <w:szCs w:val="40"/>
        </w:rPr>
      </w:pPr>
      <w:r w:rsidRPr="009E37FD">
        <w:t>*</w:t>
      </w:r>
      <w:r>
        <w:t xml:space="preserve"> </w:t>
      </w:r>
      <w:r w:rsidRPr="00EA1EEB">
        <w:t>Marks are give</w:t>
      </w:r>
      <w:r>
        <w:t xml:space="preserve">n for </w:t>
      </w:r>
      <w:r w:rsidRPr="00EA1EEB">
        <w:t>active participation and presentation in seminars</w:t>
      </w:r>
      <w:r>
        <w:t xml:space="preserve"> and for in-class tests.</w:t>
      </w:r>
    </w:p>
    <w:p w:rsidR="00DC6096" w:rsidRPr="00964B0A" w:rsidRDefault="00DC6096" w:rsidP="00DC6096">
      <w:pPr>
        <w:suppressAutoHyphens w:val="0"/>
        <w:rPr>
          <w:b/>
          <w:bCs/>
          <w:color w:val="FF0000"/>
          <w:kern w:val="1"/>
          <w:sz w:val="20"/>
          <w:szCs w:val="20"/>
        </w:rPr>
      </w:pPr>
    </w:p>
    <w:p w:rsidR="00DC6096" w:rsidRDefault="00DC6096" w:rsidP="00DC6096">
      <w:pPr>
        <w:suppressAutoHyphens w:val="0"/>
        <w:rPr>
          <w:b/>
          <w:bCs/>
          <w:color w:val="FF0000"/>
          <w:kern w:val="1"/>
          <w:sz w:val="40"/>
          <w:szCs w:val="40"/>
        </w:rPr>
      </w:pPr>
    </w:p>
    <w:p w:rsidR="004A667D" w:rsidRDefault="004A667D">
      <w:bookmarkStart w:id="34" w:name="_GoBack"/>
      <w:bookmarkEnd w:id="34"/>
    </w:p>
    <w:sectPr w:rsidR="004A6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20886322"/>
      <w:docPartObj>
        <w:docPartGallery w:val="Page Numbers (Bottom of Page)"/>
        <w:docPartUnique/>
      </w:docPartObj>
    </w:sdtPr>
    <w:sdtEndPr/>
    <w:sdtContent>
      <w:p w:rsidR="00AC5325" w:rsidRPr="00B54F74" w:rsidRDefault="00DC6096" w:rsidP="00B54F74">
        <w:pPr>
          <w:pStyle w:val="Footer"/>
          <w:jc w:val="right"/>
          <w:rPr>
            <w:sz w:val="20"/>
            <w:szCs w:val="20"/>
          </w:rPr>
        </w:pPr>
        <w:r w:rsidRPr="00B54F74">
          <w:rPr>
            <w:sz w:val="20"/>
            <w:szCs w:val="20"/>
          </w:rPr>
          <w:t>Programme Handbook 2014/15</w:t>
        </w:r>
        <w:r w:rsidRPr="00B54F74">
          <w:rPr>
            <w:sz w:val="20"/>
            <w:szCs w:val="20"/>
          </w:rPr>
          <w:tab/>
        </w:r>
        <w:r>
          <w:rPr>
            <w:sz w:val="20"/>
            <w:szCs w:val="20"/>
          </w:rPr>
          <w:t xml:space="preserve">                                                    </w:t>
        </w:r>
        <w:r w:rsidRPr="00B54F74">
          <w:rPr>
            <w:sz w:val="20"/>
            <w:szCs w:val="20"/>
          </w:rPr>
          <w:t xml:space="preserve">Page | </w:t>
        </w:r>
        <w:r w:rsidRPr="00B54F74">
          <w:rPr>
            <w:sz w:val="20"/>
            <w:szCs w:val="20"/>
          </w:rPr>
          <w:fldChar w:fldCharType="begin"/>
        </w:r>
        <w:r w:rsidRPr="00B54F74">
          <w:rPr>
            <w:sz w:val="20"/>
            <w:szCs w:val="20"/>
          </w:rPr>
          <w:instrText xml:space="preserve"> PAGE   \* MERGEFORMAT </w:instrText>
        </w:r>
        <w:r w:rsidRPr="00B54F74">
          <w:rPr>
            <w:sz w:val="20"/>
            <w:szCs w:val="20"/>
          </w:rPr>
          <w:fldChar w:fldCharType="separate"/>
        </w:r>
        <w:r>
          <w:rPr>
            <w:noProof/>
            <w:sz w:val="20"/>
            <w:szCs w:val="20"/>
          </w:rPr>
          <w:t>38</w:t>
        </w:r>
        <w:r w:rsidRPr="00B54F74">
          <w:rPr>
            <w:noProof/>
            <w:sz w:val="20"/>
            <w:szCs w:val="20"/>
          </w:rPr>
          <w:fldChar w:fldCharType="end"/>
        </w:r>
        <w:r w:rsidRPr="00B54F74">
          <w:rPr>
            <w:sz w:val="20"/>
            <w:szCs w:val="2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6823"/>
      <w:docPartObj>
        <w:docPartGallery w:val="Page Numbers (Bottom of Page)"/>
        <w:docPartUnique/>
      </w:docPartObj>
    </w:sdtPr>
    <w:sdtEndPr>
      <w:rPr>
        <w:noProof/>
        <w:sz w:val="20"/>
        <w:szCs w:val="20"/>
      </w:rPr>
    </w:sdtEndPr>
    <w:sdtContent>
      <w:p w:rsidR="00AC5325" w:rsidRPr="00B54F74" w:rsidRDefault="00DC6096">
        <w:pPr>
          <w:pStyle w:val="Footer"/>
          <w:rPr>
            <w:sz w:val="20"/>
            <w:szCs w:val="20"/>
          </w:rPr>
        </w:pPr>
        <w:r w:rsidRPr="00B54F74">
          <w:rPr>
            <w:sz w:val="20"/>
            <w:szCs w:val="20"/>
          </w:rPr>
          <w:t xml:space="preserve">Page | </w:t>
        </w:r>
        <w:r w:rsidRPr="00B54F74">
          <w:rPr>
            <w:sz w:val="20"/>
            <w:szCs w:val="20"/>
          </w:rPr>
          <w:fldChar w:fldCharType="begin"/>
        </w:r>
        <w:r w:rsidRPr="00B54F74">
          <w:rPr>
            <w:sz w:val="20"/>
            <w:szCs w:val="20"/>
          </w:rPr>
          <w:instrText xml:space="preserve"> PAGE   \* MERGEFORMAT </w:instrText>
        </w:r>
        <w:r w:rsidRPr="00B54F74">
          <w:rPr>
            <w:sz w:val="20"/>
            <w:szCs w:val="20"/>
          </w:rPr>
          <w:fldChar w:fldCharType="separate"/>
        </w:r>
        <w:r>
          <w:rPr>
            <w:noProof/>
            <w:sz w:val="20"/>
            <w:szCs w:val="20"/>
          </w:rPr>
          <w:t>4</w:t>
        </w:r>
        <w:r w:rsidRPr="00B54F74">
          <w:rPr>
            <w:noProof/>
            <w:sz w:val="20"/>
            <w:szCs w:val="20"/>
          </w:rPr>
          <w:fldChar w:fldCharType="end"/>
        </w:r>
        <w:r w:rsidRPr="00B54F74">
          <w:rPr>
            <w:noProof/>
            <w:sz w:val="20"/>
            <w:szCs w:val="20"/>
          </w:rPr>
          <w:tab/>
          <w:t xml:space="preserve">                                </w:t>
        </w:r>
        <w:r w:rsidRPr="00B54F74">
          <w:rPr>
            <w:sz w:val="20"/>
            <w:szCs w:val="20"/>
          </w:rPr>
          <w:t>Programme Handbook 2014/15</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25" w:rsidRDefault="00DC60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25" w:rsidRDefault="00DC60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25" w:rsidRDefault="00DC6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AD567A"/>
    <w:multiLevelType w:val="hybridMultilevel"/>
    <w:tmpl w:val="B90821E4"/>
    <w:lvl w:ilvl="0" w:tplc="FE34CA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9F10127"/>
    <w:multiLevelType w:val="hybridMultilevel"/>
    <w:tmpl w:val="6E10C6D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2793BC3"/>
    <w:multiLevelType w:val="hybridMultilevel"/>
    <w:tmpl w:val="D680AAC4"/>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36510E6"/>
    <w:multiLevelType w:val="hybridMultilevel"/>
    <w:tmpl w:val="E07233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B120E17"/>
    <w:multiLevelType w:val="hybridMultilevel"/>
    <w:tmpl w:val="9020BD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7B96BE1"/>
    <w:multiLevelType w:val="hybridMultilevel"/>
    <w:tmpl w:val="34782796"/>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B055C0E"/>
    <w:multiLevelType w:val="hybridMultilevel"/>
    <w:tmpl w:val="C3B6CF7E"/>
    <w:lvl w:ilvl="0" w:tplc="A6A0F9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44B383C"/>
    <w:multiLevelType w:val="hybridMultilevel"/>
    <w:tmpl w:val="1004E48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81E77C1"/>
    <w:multiLevelType w:val="hybridMultilevel"/>
    <w:tmpl w:val="6CF20B58"/>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5"/>
  </w:num>
  <w:num w:numId="6">
    <w:abstractNumId w:val="6"/>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96"/>
    <w:rsid w:val="0006404F"/>
    <w:rsid w:val="00064CD9"/>
    <w:rsid w:val="001762C4"/>
    <w:rsid w:val="001B1AFE"/>
    <w:rsid w:val="00216D51"/>
    <w:rsid w:val="002A2200"/>
    <w:rsid w:val="00352BD0"/>
    <w:rsid w:val="003A0224"/>
    <w:rsid w:val="003E45F5"/>
    <w:rsid w:val="004A667D"/>
    <w:rsid w:val="004A6CFE"/>
    <w:rsid w:val="004B71A7"/>
    <w:rsid w:val="004E11CE"/>
    <w:rsid w:val="00551B3D"/>
    <w:rsid w:val="005E611B"/>
    <w:rsid w:val="00625FD0"/>
    <w:rsid w:val="00680AA8"/>
    <w:rsid w:val="006B35BE"/>
    <w:rsid w:val="008E1CD3"/>
    <w:rsid w:val="00922958"/>
    <w:rsid w:val="00944C68"/>
    <w:rsid w:val="009D56F8"/>
    <w:rsid w:val="00A00817"/>
    <w:rsid w:val="00A6208A"/>
    <w:rsid w:val="00A62CB6"/>
    <w:rsid w:val="00AB0D78"/>
    <w:rsid w:val="00AD13EE"/>
    <w:rsid w:val="00AF56DE"/>
    <w:rsid w:val="00B57931"/>
    <w:rsid w:val="00B57C39"/>
    <w:rsid w:val="00BC572D"/>
    <w:rsid w:val="00C3361D"/>
    <w:rsid w:val="00C765FD"/>
    <w:rsid w:val="00CC7534"/>
    <w:rsid w:val="00CE099E"/>
    <w:rsid w:val="00D029F7"/>
    <w:rsid w:val="00D41CD0"/>
    <w:rsid w:val="00D82ECE"/>
    <w:rsid w:val="00DA7E02"/>
    <w:rsid w:val="00DC48D7"/>
    <w:rsid w:val="00DC6096"/>
    <w:rsid w:val="00E11285"/>
    <w:rsid w:val="00E34E99"/>
    <w:rsid w:val="00E65573"/>
    <w:rsid w:val="00F11D14"/>
    <w:rsid w:val="00F54256"/>
    <w:rsid w:val="00FA1D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96"/>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DC6096"/>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DC6096"/>
    <w:pPr>
      <w:keepNext/>
      <w:numPr>
        <w:ilvl w:val="1"/>
        <w:numId w:val="1"/>
      </w:numPr>
      <w:spacing w:before="160" w:after="120"/>
      <w:outlineLvl w:val="1"/>
    </w:pPr>
    <w:rPr>
      <w:b/>
      <w:bCs/>
    </w:rPr>
  </w:style>
  <w:style w:type="paragraph" w:styleId="Heading3">
    <w:name w:val="heading 3"/>
    <w:basedOn w:val="Normal"/>
    <w:next w:val="Normal"/>
    <w:link w:val="Heading3Char"/>
    <w:qFormat/>
    <w:rsid w:val="00DC6096"/>
    <w:pPr>
      <w:keepNext/>
      <w:tabs>
        <w:tab w:val="num" w:pos="0"/>
      </w:tabs>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096"/>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DC6096"/>
    <w:rPr>
      <w:rFonts w:ascii="Arial" w:eastAsia="Times" w:hAnsi="Arial" w:cs="Arial"/>
      <w:b/>
      <w:bCs/>
      <w:lang w:eastAsia="ar-SA"/>
    </w:rPr>
  </w:style>
  <w:style w:type="character" w:customStyle="1" w:styleId="Heading3Char">
    <w:name w:val="Heading 3 Char"/>
    <w:basedOn w:val="DefaultParagraphFont"/>
    <w:link w:val="Heading3"/>
    <w:rsid w:val="00DC6096"/>
    <w:rPr>
      <w:rFonts w:ascii="Arial" w:eastAsia="Times" w:hAnsi="Arial" w:cs="Arial"/>
      <w:b/>
      <w:bCs/>
      <w:lang w:eastAsia="ar-SA"/>
    </w:rPr>
  </w:style>
  <w:style w:type="paragraph" w:styleId="Header">
    <w:name w:val="header"/>
    <w:basedOn w:val="Normal"/>
    <w:link w:val="HeaderChar"/>
    <w:uiPriority w:val="99"/>
    <w:unhideWhenUsed/>
    <w:rsid w:val="00DC6096"/>
    <w:pPr>
      <w:tabs>
        <w:tab w:val="center" w:pos="4513"/>
        <w:tab w:val="right" w:pos="9026"/>
      </w:tabs>
    </w:pPr>
  </w:style>
  <w:style w:type="character" w:customStyle="1" w:styleId="HeaderChar">
    <w:name w:val="Header Char"/>
    <w:basedOn w:val="DefaultParagraphFont"/>
    <w:link w:val="Header"/>
    <w:uiPriority w:val="99"/>
    <w:rsid w:val="00DC6096"/>
    <w:rPr>
      <w:rFonts w:ascii="Arial" w:eastAsia="Times" w:hAnsi="Arial" w:cs="Arial"/>
      <w:lang w:eastAsia="ar-SA"/>
    </w:rPr>
  </w:style>
  <w:style w:type="paragraph" w:styleId="BodyText">
    <w:name w:val="Body Text"/>
    <w:basedOn w:val="Normal"/>
    <w:link w:val="BodyTextChar"/>
    <w:rsid w:val="00DC6096"/>
    <w:rPr>
      <w:rFonts w:eastAsia="Times New Roman"/>
    </w:rPr>
  </w:style>
  <w:style w:type="character" w:customStyle="1" w:styleId="BodyTextChar">
    <w:name w:val="Body Text Char"/>
    <w:basedOn w:val="DefaultParagraphFont"/>
    <w:link w:val="BodyText"/>
    <w:rsid w:val="00DC6096"/>
    <w:rPr>
      <w:rFonts w:ascii="Arial" w:eastAsia="Times New Roman" w:hAnsi="Arial" w:cs="Arial"/>
      <w:lang w:eastAsia="ar-SA"/>
    </w:rPr>
  </w:style>
  <w:style w:type="paragraph" w:styleId="Footer">
    <w:name w:val="footer"/>
    <w:basedOn w:val="Normal"/>
    <w:link w:val="FooterChar"/>
    <w:uiPriority w:val="99"/>
    <w:rsid w:val="00DC6096"/>
    <w:pPr>
      <w:tabs>
        <w:tab w:val="center" w:pos="4153"/>
        <w:tab w:val="right" w:pos="8306"/>
      </w:tabs>
    </w:pPr>
  </w:style>
  <w:style w:type="character" w:customStyle="1" w:styleId="FooterChar">
    <w:name w:val="Footer Char"/>
    <w:basedOn w:val="DefaultParagraphFont"/>
    <w:link w:val="Footer"/>
    <w:uiPriority w:val="99"/>
    <w:rsid w:val="00DC6096"/>
    <w:rPr>
      <w:rFonts w:ascii="Arial" w:eastAsia="Times" w:hAnsi="Arial" w:cs="Arial"/>
      <w:lang w:eastAsia="ar-SA"/>
    </w:rPr>
  </w:style>
  <w:style w:type="paragraph" w:styleId="ListParagraph">
    <w:name w:val="List Paragraph"/>
    <w:basedOn w:val="Normal"/>
    <w:link w:val="ListParagraphChar"/>
    <w:uiPriority w:val="34"/>
    <w:qFormat/>
    <w:rsid w:val="00DC6096"/>
    <w:pPr>
      <w:ind w:left="720"/>
    </w:pPr>
  </w:style>
  <w:style w:type="character" w:customStyle="1" w:styleId="ListParagraphChar">
    <w:name w:val="List Paragraph Char"/>
    <w:basedOn w:val="DefaultParagraphFont"/>
    <w:link w:val="ListParagraph"/>
    <w:uiPriority w:val="34"/>
    <w:rsid w:val="00DC6096"/>
    <w:rPr>
      <w:rFonts w:ascii="Arial" w:eastAsia="Times" w:hAnsi="Arial" w:cs="Arial"/>
      <w:lang w:eastAsia="ar-SA"/>
    </w:rPr>
  </w:style>
  <w:style w:type="paragraph" w:styleId="BodyText3">
    <w:name w:val="Body Text 3"/>
    <w:basedOn w:val="Normal"/>
    <w:link w:val="BodyText3Char"/>
    <w:unhideWhenUsed/>
    <w:rsid w:val="00DC6096"/>
    <w:pPr>
      <w:spacing w:after="120"/>
    </w:pPr>
    <w:rPr>
      <w:sz w:val="16"/>
      <w:szCs w:val="16"/>
    </w:rPr>
  </w:style>
  <w:style w:type="character" w:customStyle="1" w:styleId="BodyText3Char">
    <w:name w:val="Body Text 3 Char"/>
    <w:basedOn w:val="DefaultParagraphFont"/>
    <w:link w:val="BodyText3"/>
    <w:rsid w:val="00DC6096"/>
    <w:rPr>
      <w:rFonts w:ascii="Arial" w:eastAsia="Times" w:hAnsi="Arial" w:cs="Arial"/>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96"/>
    <w:pPr>
      <w:suppressAutoHyphens/>
      <w:spacing w:after="0" w:line="240" w:lineRule="auto"/>
    </w:pPr>
    <w:rPr>
      <w:rFonts w:ascii="Arial" w:eastAsia="Times" w:hAnsi="Arial" w:cs="Arial"/>
      <w:lang w:eastAsia="ar-SA"/>
    </w:rPr>
  </w:style>
  <w:style w:type="paragraph" w:styleId="Heading1">
    <w:name w:val="heading 1"/>
    <w:aliases w:val="Chapter heading"/>
    <w:basedOn w:val="Normal"/>
    <w:next w:val="Normal"/>
    <w:link w:val="Heading1Char"/>
    <w:qFormat/>
    <w:rsid w:val="00DC6096"/>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DC6096"/>
    <w:pPr>
      <w:keepNext/>
      <w:numPr>
        <w:ilvl w:val="1"/>
        <w:numId w:val="1"/>
      </w:numPr>
      <w:spacing w:before="160" w:after="120"/>
      <w:outlineLvl w:val="1"/>
    </w:pPr>
    <w:rPr>
      <w:b/>
      <w:bCs/>
    </w:rPr>
  </w:style>
  <w:style w:type="paragraph" w:styleId="Heading3">
    <w:name w:val="heading 3"/>
    <w:basedOn w:val="Normal"/>
    <w:next w:val="Normal"/>
    <w:link w:val="Heading3Char"/>
    <w:qFormat/>
    <w:rsid w:val="00DC6096"/>
    <w:pPr>
      <w:keepNext/>
      <w:tabs>
        <w:tab w:val="num" w:pos="0"/>
      </w:tabs>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096"/>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DC6096"/>
    <w:rPr>
      <w:rFonts w:ascii="Arial" w:eastAsia="Times" w:hAnsi="Arial" w:cs="Arial"/>
      <w:b/>
      <w:bCs/>
      <w:lang w:eastAsia="ar-SA"/>
    </w:rPr>
  </w:style>
  <w:style w:type="character" w:customStyle="1" w:styleId="Heading3Char">
    <w:name w:val="Heading 3 Char"/>
    <w:basedOn w:val="DefaultParagraphFont"/>
    <w:link w:val="Heading3"/>
    <w:rsid w:val="00DC6096"/>
    <w:rPr>
      <w:rFonts w:ascii="Arial" w:eastAsia="Times" w:hAnsi="Arial" w:cs="Arial"/>
      <w:b/>
      <w:bCs/>
      <w:lang w:eastAsia="ar-SA"/>
    </w:rPr>
  </w:style>
  <w:style w:type="paragraph" w:styleId="Header">
    <w:name w:val="header"/>
    <w:basedOn w:val="Normal"/>
    <w:link w:val="HeaderChar"/>
    <w:uiPriority w:val="99"/>
    <w:unhideWhenUsed/>
    <w:rsid w:val="00DC6096"/>
    <w:pPr>
      <w:tabs>
        <w:tab w:val="center" w:pos="4513"/>
        <w:tab w:val="right" w:pos="9026"/>
      </w:tabs>
    </w:pPr>
  </w:style>
  <w:style w:type="character" w:customStyle="1" w:styleId="HeaderChar">
    <w:name w:val="Header Char"/>
    <w:basedOn w:val="DefaultParagraphFont"/>
    <w:link w:val="Header"/>
    <w:uiPriority w:val="99"/>
    <w:rsid w:val="00DC6096"/>
    <w:rPr>
      <w:rFonts w:ascii="Arial" w:eastAsia="Times" w:hAnsi="Arial" w:cs="Arial"/>
      <w:lang w:eastAsia="ar-SA"/>
    </w:rPr>
  </w:style>
  <w:style w:type="paragraph" w:styleId="BodyText">
    <w:name w:val="Body Text"/>
    <w:basedOn w:val="Normal"/>
    <w:link w:val="BodyTextChar"/>
    <w:rsid w:val="00DC6096"/>
    <w:rPr>
      <w:rFonts w:eastAsia="Times New Roman"/>
    </w:rPr>
  </w:style>
  <w:style w:type="character" w:customStyle="1" w:styleId="BodyTextChar">
    <w:name w:val="Body Text Char"/>
    <w:basedOn w:val="DefaultParagraphFont"/>
    <w:link w:val="BodyText"/>
    <w:rsid w:val="00DC6096"/>
    <w:rPr>
      <w:rFonts w:ascii="Arial" w:eastAsia="Times New Roman" w:hAnsi="Arial" w:cs="Arial"/>
      <w:lang w:eastAsia="ar-SA"/>
    </w:rPr>
  </w:style>
  <w:style w:type="paragraph" w:styleId="Footer">
    <w:name w:val="footer"/>
    <w:basedOn w:val="Normal"/>
    <w:link w:val="FooterChar"/>
    <w:uiPriority w:val="99"/>
    <w:rsid w:val="00DC6096"/>
    <w:pPr>
      <w:tabs>
        <w:tab w:val="center" w:pos="4153"/>
        <w:tab w:val="right" w:pos="8306"/>
      </w:tabs>
    </w:pPr>
  </w:style>
  <w:style w:type="character" w:customStyle="1" w:styleId="FooterChar">
    <w:name w:val="Footer Char"/>
    <w:basedOn w:val="DefaultParagraphFont"/>
    <w:link w:val="Footer"/>
    <w:uiPriority w:val="99"/>
    <w:rsid w:val="00DC6096"/>
    <w:rPr>
      <w:rFonts w:ascii="Arial" w:eastAsia="Times" w:hAnsi="Arial" w:cs="Arial"/>
      <w:lang w:eastAsia="ar-SA"/>
    </w:rPr>
  </w:style>
  <w:style w:type="paragraph" w:styleId="ListParagraph">
    <w:name w:val="List Paragraph"/>
    <w:basedOn w:val="Normal"/>
    <w:link w:val="ListParagraphChar"/>
    <w:uiPriority w:val="34"/>
    <w:qFormat/>
    <w:rsid w:val="00DC6096"/>
    <w:pPr>
      <w:ind w:left="720"/>
    </w:pPr>
  </w:style>
  <w:style w:type="character" w:customStyle="1" w:styleId="ListParagraphChar">
    <w:name w:val="List Paragraph Char"/>
    <w:basedOn w:val="DefaultParagraphFont"/>
    <w:link w:val="ListParagraph"/>
    <w:uiPriority w:val="34"/>
    <w:rsid w:val="00DC6096"/>
    <w:rPr>
      <w:rFonts w:ascii="Arial" w:eastAsia="Times" w:hAnsi="Arial" w:cs="Arial"/>
      <w:lang w:eastAsia="ar-SA"/>
    </w:rPr>
  </w:style>
  <w:style w:type="paragraph" w:styleId="BodyText3">
    <w:name w:val="Body Text 3"/>
    <w:basedOn w:val="Normal"/>
    <w:link w:val="BodyText3Char"/>
    <w:unhideWhenUsed/>
    <w:rsid w:val="00DC6096"/>
    <w:pPr>
      <w:spacing w:after="120"/>
    </w:pPr>
    <w:rPr>
      <w:sz w:val="16"/>
      <w:szCs w:val="16"/>
    </w:rPr>
  </w:style>
  <w:style w:type="character" w:customStyle="1" w:styleId="BodyText3Char">
    <w:name w:val="Body Text 3 Char"/>
    <w:basedOn w:val="DefaultParagraphFont"/>
    <w:link w:val="BodyText3"/>
    <w:rsid w:val="00DC6096"/>
    <w:rPr>
      <w:rFonts w:ascii="Arial" w:eastAsia="Times" w:hAnsi="Arial" w:cs="Arial"/>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2413</Words>
  <Characters>13760</Characters>
  <Application>Microsoft Office Word</Application>
  <DocSecurity>0</DocSecurity>
  <Lines>114</Lines>
  <Paragraphs>32</Paragraphs>
  <ScaleCrop>false</ScaleCrop>
  <Company>Middlesex University</Company>
  <LinksUpToDate>false</LinksUpToDate>
  <CharactersWithSpaces>16141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Antoni</dc:creator>
  <cp:lastModifiedBy>Sasha Antoni</cp:lastModifiedBy>
  <cp:revision>1</cp:revision>
  <dcterms:created xsi:type="dcterms:W3CDTF">2014-10-02T10:01:00Z</dcterms:created>
  <dcterms:modified xsi:type="dcterms:W3CDTF">2014-10-02T10:02:00Z</dcterms:modified>
</cp:coreProperties>
</file>